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AD78" w14:textId="77777777" w:rsidR="00CB51BF" w:rsidRPr="006D4BA1" w:rsidRDefault="00CB51BF" w:rsidP="00337133">
      <w:pPr>
        <w:ind w:left="1440" w:hanging="1440"/>
        <w:jc w:val="center"/>
        <w:rPr>
          <w:rFonts w:asciiTheme="majorBidi" w:eastAsia="Times New Roman" w:hAnsiTheme="majorBidi" w:cstheme="majorBidi"/>
          <w:b/>
          <w:bCs/>
          <w:color w:val="000000" w:themeColor="text1"/>
          <w:kern w:val="36"/>
          <w:sz w:val="24"/>
          <w:szCs w:val="24"/>
        </w:rPr>
      </w:pPr>
      <w:r w:rsidRPr="006D4BA1">
        <w:rPr>
          <w:rFonts w:asciiTheme="majorBidi" w:eastAsia="Times New Roman" w:hAnsiTheme="majorBidi" w:cstheme="majorBidi"/>
          <w:b/>
          <w:bCs/>
          <w:color w:val="000000" w:themeColor="text1"/>
          <w:kern w:val="36"/>
          <w:sz w:val="24"/>
          <w:szCs w:val="24"/>
        </w:rPr>
        <w:t>REPUBLIC OF SOMALILAND</w:t>
      </w:r>
    </w:p>
    <w:p w14:paraId="5F37AE82" w14:textId="46FE3A31" w:rsidR="00CB51BF" w:rsidRPr="006D4BA1" w:rsidRDefault="00CB51BF" w:rsidP="00337133">
      <w:pPr>
        <w:pStyle w:val="Header"/>
        <w:jc w:val="center"/>
        <w:rPr>
          <w:rFonts w:asciiTheme="majorBidi" w:hAnsiTheme="majorBidi" w:cstheme="majorBidi"/>
          <w:b/>
          <w:bCs/>
          <w:sz w:val="24"/>
          <w:szCs w:val="24"/>
        </w:rPr>
      </w:pPr>
      <w:r w:rsidRPr="006D4BA1">
        <w:rPr>
          <w:rFonts w:asciiTheme="majorBidi" w:hAnsiTheme="majorBidi" w:cstheme="majorBidi"/>
          <w:b/>
          <w:bCs/>
          <w:sz w:val="24"/>
          <w:szCs w:val="24"/>
        </w:rPr>
        <w:t>MP, Ahmed A. Ibrahim  (Timojilic)</w:t>
      </w:r>
      <w:r w:rsidRPr="006D4BA1">
        <w:rPr>
          <w:rFonts w:asciiTheme="majorBidi" w:hAnsiTheme="majorBidi" w:cstheme="majorBidi"/>
          <w:sz w:val="24"/>
          <w:szCs w:val="24"/>
        </w:rPr>
        <w:t xml:space="preserve"> </w:t>
      </w:r>
      <w:r w:rsidR="00337133" w:rsidRPr="006D4BA1">
        <w:rPr>
          <w:rFonts w:asciiTheme="majorBidi" w:hAnsiTheme="majorBidi" w:cstheme="majorBidi"/>
          <w:noProof/>
          <w:sz w:val="24"/>
          <w:szCs w:val="24"/>
        </w:rPr>
        <w:drawing>
          <wp:inline distT="0" distB="0" distL="0" distR="0" wp14:anchorId="7B5DA246" wp14:editId="5227413A">
            <wp:extent cx="775335" cy="77533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335" cy="775335"/>
                    </a:xfrm>
                    <a:prstGeom prst="rect">
                      <a:avLst/>
                    </a:prstGeom>
                    <a:noFill/>
                    <a:ln>
                      <a:noFill/>
                    </a:ln>
                  </pic:spPr>
                </pic:pic>
              </a:graphicData>
            </a:graphic>
          </wp:inline>
        </w:drawing>
      </w:r>
      <w:r w:rsidR="00337133" w:rsidRPr="006D4BA1">
        <w:rPr>
          <w:rFonts w:asciiTheme="majorBidi" w:hAnsiTheme="majorBidi" w:cstheme="majorBidi"/>
          <w:sz w:val="24"/>
          <w:szCs w:val="24"/>
        </w:rPr>
        <w:t xml:space="preserve"> </w:t>
      </w:r>
      <w:r w:rsidRPr="006D4BA1">
        <w:rPr>
          <w:rFonts w:asciiTheme="majorBidi" w:hAnsiTheme="majorBidi" w:cstheme="majorBidi"/>
          <w:sz w:val="24"/>
          <w:szCs w:val="24"/>
        </w:rPr>
        <w:t>(</w:t>
      </w:r>
      <w:r w:rsidRPr="006D4BA1">
        <w:rPr>
          <w:rFonts w:asciiTheme="majorBidi" w:hAnsiTheme="majorBidi" w:cstheme="majorBidi"/>
          <w:b/>
          <w:bCs/>
          <w:sz w:val="24"/>
          <w:szCs w:val="24"/>
        </w:rPr>
        <w:t xml:space="preserve">MAIL001 </w:t>
      </w:r>
      <w:hyperlink r:id="rId8" w:history="1">
        <w:r w:rsidRPr="006D4BA1">
          <w:rPr>
            <w:rStyle w:val="Hyperlink"/>
            <w:rFonts w:asciiTheme="majorBidi" w:hAnsiTheme="majorBidi" w:cstheme="majorBidi"/>
            <w:b/>
            <w:bCs/>
            <w:sz w:val="24"/>
            <w:szCs w:val="24"/>
          </w:rPr>
          <w:t>https://govsomaliland.org</w:t>
        </w:r>
      </w:hyperlink>
      <w:r w:rsidRPr="006D4BA1">
        <w:rPr>
          <w:rFonts w:asciiTheme="majorBidi" w:hAnsiTheme="majorBidi" w:cstheme="majorBidi"/>
          <w:b/>
          <w:bCs/>
          <w:sz w:val="24"/>
          <w:szCs w:val="24"/>
        </w:rPr>
        <w:t xml:space="preserve"> </w:t>
      </w:r>
      <w:hyperlink r:id="rId9" w:history="1">
        <w:r w:rsidRPr="006D4BA1">
          <w:rPr>
            <w:rStyle w:val="Hyperlink"/>
            <w:rFonts w:asciiTheme="majorBidi" w:hAnsiTheme="majorBidi" w:cstheme="majorBidi"/>
            <w:b/>
            <w:bCs/>
            <w:sz w:val="24"/>
            <w:szCs w:val="24"/>
          </w:rPr>
          <w:t>https://somalilandparliament.net</w:t>
        </w:r>
      </w:hyperlink>
    </w:p>
    <w:p w14:paraId="4FE672B5" w14:textId="77777777" w:rsidR="00337133" w:rsidRDefault="0026494B" w:rsidP="00337133">
      <w:pPr>
        <w:pStyle w:val="Header"/>
        <w:jc w:val="center"/>
        <w:rPr>
          <w:rFonts w:asciiTheme="majorBidi" w:hAnsiTheme="majorBidi" w:cstheme="majorBidi"/>
          <w:b/>
          <w:bCs/>
          <w:sz w:val="24"/>
          <w:szCs w:val="24"/>
        </w:rPr>
      </w:pPr>
      <w:hyperlink r:id="rId10" w:history="1">
        <w:bookmarkStart w:id="0" w:name="_Hlk237884150"/>
        <w:r w:rsidR="00CB51BF" w:rsidRPr="006D4BA1">
          <w:rPr>
            <w:rStyle w:val="Hyperlink"/>
            <w:rFonts w:asciiTheme="majorBidi" w:hAnsiTheme="majorBidi" w:cstheme="majorBidi"/>
            <w:b/>
            <w:bCs/>
            <w:sz w:val="24"/>
            <w:szCs w:val="24"/>
          </w:rPr>
          <w:t>https://</w:t>
        </w:r>
        <w:bookmarkEnd w:id="0"/>
        <w:r w:rsidR="00CB51BF" w:rsidRPr="006D4BA1">
          <w:rPr>
            <w:rStyle w:val="Hyperlink"/>
            <w:rFonts w:asciiTheme="majorBidi" w:hAnsiTheme="majorBidi" w:cstheme="majorBidi"/>
            <w:b/>
            <w:bCs/>
            <w:sz w:val="24"/>
            <w:szCs w:val="24"/>
          </w:rPr>
          <w:t>mpa-timo.com</w:t>
        </w:r>
      </w:hyperlink>
      <w:r w:rsidR="00CB51BF" w:rsidRPr="006D4BA1">
        <w:rPr>
          <w:rFonts w:asciiTheme="majorBidi" w:hAnsiTheme="majorBidi" w:cstheme="majorBidi"/>
          <w:b/>
          <w:bCs/>
          <w:sz w:val="24"/>
          <w:szCs w:val="24"/>
        </w:rPr>
        <w:t xml:space="preserve"> </w:t>
      </w:r>
      <w:hyperlink r:id="rId11" w:history="1">
        <w:r w:rsidR="00CB51BF" w:rsidRPr="006D4BA1">
          <w:rPr>
            <w:rStyle w:val="Hyperlink"/>
            <w:rFonts w:asciiTheme="majorBidi" w:hAnsiTheme="majorBidi" w:cstheme="majorBidi"/>
            <w:b/>
            <w:bCs/>
            <w:sz w:val="24"/>
            <w:szCs w:val="24"/>
          </w:rPr>
          <w:t>mpahmed-imojilic@somalilandparliament.net</w:t>
        </w:r>
      </w:hyperlink>
      <w:r w:rsidR="00CB51BF" w:rsidRPr="006D4BA1">
        <w:rPr>
          <w:rFonts w:asciiTheme="majorBidi" w:hAnsiTheme="majorBidi" w:cstheme="majorBidi"/>
          <w:b/>
          <w:bCs/>
          <w:sz w:val="24"/>
          <w:szCs w:val="24"/>
        </w:rPr>
        <w:t xml:space="preserve"> </w:t>
      </w:r>
    </w:p>
    <w:p w14:paraId="762E89DD" w14:textId="150A86EA" w:rsidR="00CB51BF" w:rsidRPr="006D4BA1" w:rsidRDefault="00CB51BF" w:rsidP="00337133">
      <w:pPr>
        <w:pStyle w:val="Header"/>
        <w:jc w:val="center"/>
        <w:rPr>
          <w:rFonts w:asciiTheme="majorBidi" w:hAnsiTheme="majorBidi" w:cstheme="majorBidi"/>
          <w:sz w:val="24"/>
          <w:szCs w:val="24"/>
        </w:rPr>
      </w:pPr>
      <w:r w:rsidRPr="006D4BA1">
        <w:rPr>
          <w:rFonts w:asciiTheme="majorBidi" w:hAnsiTheme="majorBidi" w:cstheme="majorBidi"/>
          <w:b/>
          <w:bCs/>
          <w:sz w:val="24"/>
          <w:szCs w:val="24"/>
        </w:rPr>
        <w:t>Tell:+252657010110 +252634054030</w:t>
      </w:r>
    </w:p>
    <w:p w14:paraId="726BDEEA" w14:textId="77777777" w:rsidR="00CB51BF" w:rsidRPr="006D4BA1" w:rsidRDefault="00CB51BF" w:rsidP="00CB51BF">
      <w:pPr>
        <w:ind w:left="1440" w:hanging="1440"/>
        <w:jc w:val="center"/>
        <w:rPr>
          <w:rFonts w:asciiTheme="majorBidi" w:eastAsia="Times New Roman" w:hAnsiTheme="majorBidi" w:cstheme="majorBidi"/>
          <w:b/>
          <w:bCs/>
          <w:color w:val="000000" w:themeColor="text1"/>
          <w:kern w:val="36"/>
          <w:sz w:val="24"/>
          <w:szCs w:val="24"/>
        </w:rPr>
      </w:pPr>
    </w:p>
    <w:p w14:paraId="2F53AC1F" w14:textId="791CA2C6" w:rsidR="00CB51BF" w:rsidRDefault="00CB51BF" w:rsidP="00CB51BF">
      <w:pPr>
        <w:rPr>
          <w:rFonts w:asciiTheme="majorBidi" w:eastAsia="Times New Roman" w:hAnsiTheme="majorBidi" w:cstheme="majorBidi"/>
          <w:b/>
          <w:bCs/>
          <w:color w:val="000000" w:themeColor="text1"/>
          <w:kern w:val="36"/>
          <w:sz w:val="24"/>
          <w:szCs w:val="24"/>
        </w:rPr>
      </w:pPr>
    </w:p>
    <w:p w14:paraId="5A9D6FCD" w14:textId="64D6FEA3" w:rsidR="000C20D9" w:rsidRDefault="000C20D9" w:rsidP="00CB51BF">
      <w:pPr>
        <w:rPr>
          <w:rFonts w:asciiTheme="majorBidi" w:eastAsia="Times New Roman" w:hAnsiTheme="majorBidi" w:cstheme="majorBidi"/>
          <w:b/>
          <w:bCs/>
          <w:color w:val="000000" w:themeColor="text1"/>
          <w:kern w:val="36"/>
          <w:sz w:val="24"/>
          <w:szCs w:val="24"/>
        </w:rPr>
      </w:pPr>
    </w:p>
    <w:p w14:paraId="26F39406" w14:textId="77777777" w:rsidR="000C20D9" w:rsidRPr="006D4BA1" w:rsidRDefault="000C20D9" w:rsidP="00CB51BF">
      <w:pPr>
        <w:rPr>
          <w:rFonts w:asciiTheme="majorBidi" w:eastAsia="Times New Roman" w:hAnsiTheme="majorBidi" w:cstheme="majorBidi"/>
          <w:b/>
          <w:bCs/>
          <w:color w:val="000000" w:themeColor="text1"/>
          <w:kern w:val="36"/>
          <w:sz w:val="24"/>
          <w:szCs w:val="24"/>
        </w:rPr>
      </w:pPr>
    </w:p>
    <w:p w14:paraId="37FEF781" w14:textId="77777777" w:rsidR="00CB51BF" w:rsidRPr="006D4BA1" w:rsidRDefault="00CB51BF" w:rsidP="00CB51BF">
      <w:pPr>
        <w:jc w:val="center"/>
        <w:rPr>
          <w:rFonts w:asciiTheme="majorBidi" w:hAnsiTheme="majorBidi" w:cstheme="majorBidi"/>
          <w:sz w:val="24"/>
          <w:szCs w:val="24"/>
        </w:rPr>
      </w:pPr>
      <w:r w:rsidRPr="006D4BA1">
        <w:rPr>
          <w:rFonts w:asciiTheme="majorBidi" w:hAnsiTheme="majorBidi" w:cstheme="majorBidi"/>
          <w:b/>
          <w:bCs/>
          <w:sz w:val="24"/>
          <w:szCs w:val="24"/>
        </w:rPr>
        <w:t>Student Name:</w:t>
      </w:r>
      <w:r w:rsidRPr="006D4BA1">
        <w:rPr>
          <w:rFonts w:asciiTheme="majorBidi" w:hAnsiTheme="majorBidi" w:cstheme="majorBidi"/>
          <w:sz w:val="24"/>
          <w:szCs w:val="24"/>
        </w:rPr>
        <w:t xml:space="preserve"> </w:t>
      </w:r>
      <w:r w:rsidRPr="006D4BA1">
        <w:rPr>
          <w:rFonts w:asciiTheme="majorBidi" w:hAnsiTheme="majorBidi" w:cstheme="majorBidi"/>
          <w:b/>
          <w:bCs/>
          <w:sz w:val="24"/>
          <w:szCs w:val="24"/>
        </w:rPr>
        <w:t>Ahmed A. Ibrahim (Timojilic)</w:t>
      </w:r>
      <w:r w:rsidRPr="006D4BA1">
        <w:rPr>
          <w:rFonts w:asciiTheme="majorBidi" w:hAnsiTheme="majorBidi" w:cstheme="majorBidi"/>
          <w:sz w:val="24"/>
          <w:szCs w:val="24"/>
        </w:rPr>
        <w:t xml:space="preserve"> </w:t>
      </w:r>
    </w:p>
    <w:p w14:paraId="4B69EC53" w14:textId="77777777" w:rsidR="00CB51BF" w:rsidRPr="006D4BA1" w:rsidRDefault="00CB51BF" w:rsidP="00CB51BF">
      <w:pPr>
        <w:jc w:val="center"/>
        <w:rPr>
          <w:rFonts w:asciiTheme="majorBidi" w:hAnsiTheme="majorBidi" w:cstheme="majorBidi"/>
          <w:sz w:val="24"/>
          <w:szCs w:val="24"/>
        </w:rPr>
      </w:pPr>
      <w:r w:rsidRPr="006D4BA1">
        <w:rPr>
          <w:rFonts w:asciiTheme="majorBidi" w:hAnsiTheme="majorBidi" w:cstheme="majorBidi"/>
          <w:b/>
          <w:bCs/>
          <w:sz w:val="24"/>
          <w:szCs w:val="24"/>
        </w:rPr>
        <w:t>Degree:</w:t>
      </w:r>
      <w:r w:rsidRPr="006D4BA1">
        <w:rPr>
          <w:rFonts w:asciiTheme="majorBidi" w:hAnsiTheme="majorBidi" w:cstheme="majorBidi"/>
          <w:sz w:val="24"/>
          <w:szCs w:val="24"/>
        </w:rPr>
        <w:t xml:space="preserve"> Master of Arts in International Law (</w:t>
      </w:r>
      <w:r w:rsidRPr="006D4BA1">
        <w:rPr>
          <w:rFonts w:asciiTheme="majorBidi" w:hAnsiTheme="majorBidi" w:cstheme="majorBidi"/>
          <w:b/>
          <w:bCs/>
          <w:sz w:val="24"/>
          <w:szCs w:val="24"/>
        </w:rPr>
        <w:t>MAIL001</w:t>
      </w:r>
      <w:r w:rsidRPr="006D4BA1">
        <w:rPr>
          <w:rFonts w:asciiTheme="majorBidi" w:hAnsiTheme="majorBidi" w:cstheme="majorBidi"/>
          <w:sz w:val="24"/>
          <w:szCs w:val="24"/>
        </w:rPr>
        <w:t xml:space="preserve">) </w:t>
      </w:r>
    </w:p>
    <w:p w14:paraId="399C0B89" w14:textId="77777777" w:rsidR="00CB51BF" w:rsidRPr="006D4BA1" w:rsidRDefault="00CB51BF" w:rsidP="00CB51BF">
      <w:pPr>
        <w:ind w:left="1440" w:hanging="1440"/>
        <w:jc w:val="center"/>
        <w:rPr>
          <w:rFonts w:asciiTheme="majorBidi" w:hAnsiTheme="majorBidi" w:cstheme="majorBidi"/>
          <w:sz w:val="24"/>
          <w:szCs w:val="24"/>
        </w:rPr>
      </w:pPr>
      <w:r w:rsidRPr="006D4BA1">
        <w:rPr>
          <w:rFonts w:asciiTheme="majorBidi" w:hAnsiTheme="majorBidi" w:cstheme="majorBidi"/>
          <w:sz w:val="24"/>
          <w:szCs w:val="24"/>
        </w:rPr>
        <w:t>Faculty of International Law &amp; Diplomacy</w:t>
      </w:r>
    </w:p>
    <w:p w14:paraId="32736960" w14:textId="77777777" w:rsidR="00CB51BF" w:rsidRPr="006D4BA1" w:rsidRDefault="00CB51BF" w:rsidP="00CB51BF">
      <w:pPr>
        <w:ind w:left="1440" w:hanging="1440"/>
        <w:jc w:val="center"/>
        <w:rPr>
          <w:rFonts w:asciiTheme="majorBidi" w:eastAsia="Times New Roman" w:hAnsiTheme="majorBidi" w:cstheme="majorBidi"/>
          <w:b/>
          <w:bCs/>
          <w:color w:val="000000" w:themeColor="text1"/>
          <w:kern w:val="36"/>
          <w:sz w:val="24"/>
          <w:szCs w:val="24"/>
        </w:rPr>
      </w:pPr>
      <w:r w:rsidRPr="006D4BA1">
        <w:rPr>
          <w:rFonts w:asciiTheme="majorBidi" w:eastAsia="Times New Roman" w:hAnsiTheme="majorBidi" w:cstheme="majorBidi"/>
          <w:b/>
          <w:bCs/>
          <w:color w:val="000000" w:themeColor="text1"/>
          <w:kern w:val="36"/>
          <w:sz w:val="24"/>
          <w:szCs w:val="24"/>
        </w:rPr>
        <w:t xml:space="preserve">Alpha University </w:t>
      </w:r>
    </w:p>
    <w:p w14:paraId="109E6337" w14:textId="77777777" w:rsidR="00CB51BF" w:rsidRPr="006D4BA1" w:rsidRDefault="00CB51BF" w:rsidP="00CB51BF">
      <w:pPr>
        <w:ind w:left="1440" w:hanging="1440"/>
        <w:jc w:val="center"/>
        <w:rPr>
          <w:rFonts w:asciiTheme="majorBidi" w:eastAsia="Times New Roman" w:hAnsiTheme="majorBidi" w:cstheme="majorBidi"/>
          <w:b/>
          <w:bCs/>
          <w:color w:val="000000" w:themeColor="text1"/>
          <w:kern w:val="36"/>
          <w:sz w:val="24"/>
          <w:szCs w:val="24"/>
        </w:rPr>
      </w:pPr>
      <w:r w:rsidRPr="006D4BA1">
        <w:rPr>
          <w:rFonts w:asciiTheme="majorBidi" w:eastAsia="Times New Roman" w:hAnsiTheme="majorBidi" w:cstheme="majorBidi"/>
          <w:b/>
          <w:bCs/>
          <w:color w:val="000000" w:themeColor="text1"/>
          <w:kern w:val="36"/>
          <w:sz w:val="24"/>
          <w:szCs w:val="24"/>
        </w:rPr>
        <w:t>Hargeisa.</w:t>
      </w:r>
    </w:p>
    <w:p w14:paraId="2750F891" w14:textId="77777777" w:rsidR="00CB51BF" w:rsidRPr="006D4BA1" w:rsidRDefault="00CB51BF" w:rsidP="00CB51BF">
      <w:pPr>
        <w:jc w:val="center"/>
        <w:rPr>
          <w:rFonts w:asciiTheme="majorBidi" w:eastAsia="Times New Roman" w:hAnsiTheme="majorBidi" w:cstheme="majorBidi"/>
          <w:b/>
          <w:bCs/>
          <w:color w:val="000000" w:themeColor="text1"/>
          <w:kern w:val="36"/>
          <w:sz w:val="24"/>
          <w:szCs w:val="24"/>
        </w:rPr>
      </w:pPr>
      <w:r w:rsidRPr="006D4BA1">
        <w:rPr>
          <w:rFonts w:asciiTheme="majorBidi" w:hAnsiTheme="majorBidi" w:cstheme="majorBidi"/>
          <w:sz w:val="24"/>
          <w:szCs w:val="24"/>
        </w:rPr>
        <w:t>Somaliland</w:t>
      </w:r>
      <w:r w:rsidRPr="006D4BA1">
        <w:rPr>
          <w:rFonts w:asciiTheme="majorBidi" w:eastAsia="Times New Roman" w:hAnsiTheme="majorBidi" w:cstheme="majorBidi"/>
          <w:b/>
          <w:bCs/>
          <w:color w:val="000000" w:themeColor="text1"/>
          <w:kern w:val="36"/>
          <w:sz w:val="24"/>
          <w:szCs w:val="24"/>
        </w:rPr>
        <w:t xml:space="preserve"> </w:t>
      </w:r>
    </w:p>
    <w:p w14:paraId="685CA65E" w14:textId="77777777" w:rsidR="00CB51BF" w:rsidRPr="006D4BA1" w:rsidRDefault="00CB51BF" w:rsidP="00CB51BF">
      <w:pPr>
        <w:jc w:val="center"/>
        <w:rPr>
          <w:rFonts w:asciiTheme="majorBidi" w:hAnsiTheme="majorBidi" w:cstheme="majorBidi"/>
          <w:sz w:val="24"/>
          <w:szCs w:val="24"/>
        </w:rPr>
      </w:pPr>
      <w:r w:rsidRPr="006D4BA1">
        <w:rPr>
          <w:rFonts w:asciiTheme="majorBidi" w:eastAsia="Times New Roman" w:hAnsiTheme="majorBidi" w:cstheme="majorBidi"/>
          <w:b/>
          <w:bCs/>
          <w:color w:val="000000" w:themeColor="text1"/>
          <w:kern w:val="36"/>
          <w:sz w:val="24"/>
          <w:szCs w:val="24"/>
        </w:rPr>
        <w:t>IN THE HORN OF AFRICA</w:t>
      </w:r>
    </w:p>
    <w:p w14:paraId="4567603B" w14:textId="77777777" w:rsidR="00CB51BF" w:rsidRPr="006D4BA1" w:rsidRDefault="00CB51BF" w:rsidP="00CB51BF">
      <w:pPr>
        <w:jc w:val="center"/>
        <w:rPr>
          <w:rFonts w:asciiTheme="majorBidi" w:hAnsiTheme="majorBidi" w:cstheme="majorBidi"/>
          <w:sz w:val="24"/>
          <w:szCs w:val="24"/>
        </w:rPr>
      </w:pPr>
      <w:r w:rsidRPr="006D4BA1">
        <w:rPr>
          <w:rFonts w:asciiTheme="majorBidi" w:hAnsiTheme="majorBidi" w:cstheme="majorBidi"/>
          <w:b/>
          <w:bCs/>
          <w:sz w:val="24"/>
          <w:szCs w:val="24"/>
        </w:rPr>
        <w:t>Academic Year:</w:t>
      </w:r>
      <w:r w:rsidRPr="006D4BA1">
        <w:rPr>
          <w:rFonts w:asciiTheme="majorBidi" w:hAnsiTheme="majorBidi" w:cstheme="majorBidi"/>
          <w:sz w:val="24"/>
          <w:szCs w:val="24"/>
        </w:rPr>
        <w:t xml:space="preserve"> 2026</w:t>
      </w:r>
    </w:p>
    <w:p w14:paraId="29E3897B" w14:textId="77777777" w:rsidR="00CB51BF" w:rsidRPr="006D4BA1" w:rsidRDefault="00CB51BF" w:rsidP="00CB51BF">
      <w:pPr>
        <w:ind w:left="1440" w:hanging="1440"/>
        <w:jc w:val="center"/>
        <w:rPr>
          <w:rFonts w:asciiTheme="majorBidi" w:eastAsia="Times New Roman" w:hAnsiTheme="majorBidi" w:cstheme="majorBidi"/>
          <w:b/>
          <w:bCs/>
          <w:color w:val="000000" w:themeColor="text1"/>
          <w:kern w:val="36"/>
          <w:sz w:val="24"/>
          <w:szCs w:val="24"/>
        </w:rPr>
      </w:pPr>
    </w:p>
    <w:p w14:paraId="31D131DE" w14:textId="77777777" w:rsidR="0094461D" w:rsidRPr="006D4BA1" w:rsidRDefault="0094461D" w:rsidP="0094461D">
      <w:pPr>
        <w:pStyle w:val="NoSpacing"/>
        <w:jc w:val="center"/>
        <w:rPr>
          <w:rFonts w:asciiTheme="majorBidi" w:hAnsiTheme="majorBidi" w:cstheme="majorBidi"/>
          <w:sz w:val="24"/>
          <w:szCs w:val="24"/>
        </w:rPr>
      </w:pPr>
    </w:p>
    <w:p w14:paraId="173A6BF7" w14:textId="77777777" w:rsidR="00122ECD" w:rsidRDefault="00122ECD" w:rsidP="00D054F4">
      <w:pPr>
        <w:pStyle w:val="NoSpacing"/>
        <w:jc w:val="center"/>
        <w:rPr>
          <w:rFonts w:asciiTheme="majorBidi" w:hAnsiTheme="majorBidi" w:cstheme="majorBidi"/>
          <w:b/>
          <w:bCs/>
          <w:sz w:val="24"/>
          <w:szCs w:val="24"/>
        </w:rPr>
      </w:pPr>
    </w:p>
    <w:p w14:paraId="13449D3C" w14:textId="77777777" w:rsidR="00122ECD" w:rsidRDefault="00122ECD" w:rsidP="00D054F4">
      <w:pPr>
        <w:pStyle w:val="NoSpacing"/>
        <w:jc w:val="center"/>
        <w:rPr>
          <w:rFonts w:asciiTheme="majorBidi" w:hAnsiTheme="majorBidi" w:cstheme="majorBidi"/>
          <w:b/>
          <w:bCs/>
          <w:sz w:val="24"/>
          <w:szCs w:val="24"/>
        </w:rPr>
      </w:pPr>
    </w:p>
    <w:p w14:paraId="17FB0A9A" w14:textId="698277BA" w:rsidR="00122ECD" w:rsidRDefault="00122ECD" w:rsidP="00D054F4">
      <w:pPr>
        <w:pStyle w:val="NoSpacing"/>
        <w:jc w:val="center"/>
        <w:rPr>
          <w:rFonts w:asciiTheme="majorBidi" w:hAnsiTheme="majorBidi" w:cstheme="majorBidi"/>
          <w:b/>
          <w:bCs/>
          <w:sz w:val="24"/>
          <w:szCs w:val="24"/>
        </w:rPr>
      </w:pPr>
    </w:p>
    <w:p w14:paraId="4D381AB2" w14:textId="77777777" w:rsidR="000C20D9" w:rsidRDefault="000C20D9" w:rsidP="00D054F4">
      <w:pPr>
        <w:pStyle w:val="NoSpacing"/>
        <w:jc w:val="center"/>
        <w:rPr>
          <w:rFonts w:asciiTheme="majorBidi" w:hAnsiTheme="majorBidi" w:cstheme="majorBidi"/>
          <w:b/>
          <w:bCs/>
          <w:sz w:val="24"/>
          <w:szCs w:val="24"/>
        </w:rPr>
      </w:pPr>
    </w:p>
    <w:p w14:paraId="520330BA" w14:textId="4A50C74F" w:rsidR="004713CB" w:rsidRPr="000C20D9" w:rsidRDefault="004713CB" w:rsidP="00D054F4">
      <w:pPr>
        <w:pStyle w:val="NoSpacing"/>
        <w:jc w:val="center"/>
        <w:rPr>
          <w:rFonts w:asciiTheme="majorBidi" w:hAnsiTheme="majorBidi" w:cstheme="majorBidi"/>
          <w:b/>
          <w:bCs/>
          <w:sz w:val="32"/>
          <w:szCs w:val="32"/>
        </w:rPr>
      </w:pPr>
      <w:r w:rsidRPr="000C20D9">
        <w:rPr>
          <w:rFonts w:asciiTheme="majorBidi" w:hAnsiTheme="majorBidi" w:cstheme="majorBidi"/>
          <w:b/>
          <w:bCs/>
          <w:sz w:val="32"/>
          <w:szCs w:val="32"/>
        </w:rPr>
        <w:t>CRITICAL AND EMERGING PERSPECTIVES IN INTERNATIONAL RELATIONS</w:t>
      </w:r>
    </w:p>
    <w:p w14:paraId="6649B4BE" w14:textId="4A86F62B" w:rsidR="0094461D" w:rsidRPr="000C20D9" w:rsidRDefault="00D054F4" w:rsidP="00D054F4">
      <w:pPr>
        <w:pStyle w:val="NoSpacing"/>
        <w:jc w:val="center"/>
        <w:rPr>
          <w:rFonts w:asciiTheme="majorBidi" w:hAnsiTheme="majorBidi" w:cstheme="majorBidi"/>
          <w:b/>
          <w:bCs/>
          <w:sz w:val="32"/>
          <w:szCs w:val="32"/>
        </w:rPr>
      </w:pPr>
      <w:r w:rsidRPr="000C20D9">
        <w:rPr>
          <w:rFonts w:asciiTheme="majorBidi" w:hAnsiTheme="majorBidi" w:cstheme="majorBidi"/>
          <w:b/>
          <w:bCs/>
          <w:sz w:val="32"/>
          <w:szCs w:val="32"/>
        </w:rPr>
        <w:t>CRITICAL LITERATURE ESSAY</w:t>
      </w:r>
    </w:p>
    <w:p w14:paraId="369EB5E6" w14:textId="64820730" w:rsidR="00D054F4" w:rsidRPr="006D4BA1" w:rsidRDefault="00D054F4" w:rsidP="00D054F4">
      <w:pPr>
        <w:pStyle w:val="NoSpacing"/>
        <w:jc w:val="center"/>
        <w:rPr>
          <w:rFonts w:asciiTheme="majorBidi" w:hAnsiTheme="majorBidi" w:cstheme="majorBidi"/>
          <w:b/>
          <w:bCs/>
          <w:sz w:val="24"/>
          <w:szCs w:val="24"/>
        </w:rPr>
      </w:pPr>
      <w:r w:rsidRPr="006D4BA1">
        <w:rPr>
          <w:rFonts w:asciiTheme="majorBidi" w:hAnsiTheme="majorBidi" w:cstheme="majorBidi"/>
          <w:b/>
          <w:bCs/>
          <w:sz w:val="24"/>
          <w:szCs w:val="24"/>
        </w:rPr>
        <w:t xml:space="preserve">Session 3 assignment </w:t>
      </w:r>
    </w:p>
    <w:p w14:paraId="37588B48" w14:textId="77777777" w:rsidR="00D054F4" w:rsidRPr="006D4BA1" w:rsidRDefault="00D054F4" w:rsidP="00D054F4">
      <w:pPr>
        <w:pStyle w:val="NoSpacing"/>
        <w:jc w:val="center"/>
        <w:rPr>
          <w:rFonts w:asciiTheme="majorBidi" w:hAnsiTheme="majorBidi" w:cstheme="majorBidi"/>
          <w:b/>
          <w:bCs/>
          <w:sz w:val="24"/>
          <w:szCs w:val="24"/>
        </w:rPr>
      </w:pPr>
    </w:p>
    <w:p w14:paraId="030CF3C3" w14:textId="77777777" w:rsidR="000C20D9" w:rsidRDefault="000C20D9" w:rsidP="000C20D9">
      <w:pPr>
        <w:pStyle w:val="NoSpacing"/>
        <w:jc w:val="center"/>
        <w:rPr>
          <w:rFonts w:asciiTheme="majorBidi" w:hAnsiTheme="majorBidi" w:cstheme="majorBidi"/>
          <w:b/>
          <w:bCs/>
          <w:sz w:val="24"/>
          <w:szCs w:val="24"/>
        </w:rPr>
      </w:pPr>
    </w:p>
    <w:p w14:paraId="7346C399" w14:textId="77777777" w:rsidR="000C20D9" w:rsidRDefault="000C20D9" w:rsidP="000C20D9">
      <w:pPr>
        <w:pStyle w:val="NoSpacing"/>
        <w:jc w:val="center"/>
        <w:rPr>
          <w:rFonts w:asciiTheme="majorBidi" w:hAnsiTheme="majorBidi" w:cstheme="majorBidi"/>
          <w:b/>
          <w:bCs/>
          <w:sz w:val="24"/>
          <w:szCs w:val="24"/>
        </w:rPr>
      </w:pPr>
    </w:p>
    <w:p w14:paraId="08E0D0DF" w14:textId="7C650FBA" w:rsidR="000C20D9" w:rsidRDefault="000C20D9" w:rsidP="000C20D9">
      <w:pPr>
        <w:pStyle w:val="NoSpacing"/>
        <w:jc w:val="center"/>
        <w:rPr>
          <w:rFonts w:asciiTheme="majorBidi" w:hAnsiTheme="majorBidi" w:cstheme="majorBidi"/>
          <w:b/>
          <w:bCs/>
          <w:sz w:val="24"/>
          <w:szCs w:val="24"/>
        </w:rPr>
      </w:pPr>
    </w:p>
    <w:p w14:paraId="4C195672" w14:textId="77777777" w:rsidR="000C20D9" w:rsidRDefault="000C20D9" w:rsidP="000C20D9">
      <w:pPr>
        <w:pStyle w:val="NoSpacing"/>
        <w:jc w:val="center"/>
        <w:rPr>
          <w:rFonts w:asciiTheme="majorBidi" w:hAnsiTheme="majorBidi" w:cstheme="majorBidi"/>
          <w:b/>
          <w:bCs/>
          <w:sz w:val="24"/>
          <w:szCs w:val="24"/>
        </w:rPr>
      </w:pPr>
    </w:p>
    <w:p w14:paraId="7761AC51" w14:textId="77777777" w:rsidR="000C20D9" w:rsidRDefault="000C20D9" w:rsidP="000C20D9">
      <w:pPr>
        <w:pStyle w:val="NoSpacing"/>
        <w:jc w:val="center"/>
        <w:rPr>
          <w:rFonts w:asciiTheme="majorBidi" w:hAnsiTheme="majorBidi" w:cstheme="majorBidi"/>
          <w:b/>
          <w:bCs/>
          <w:sz w:val="24"/>
          <w:szCs w:val="24"/>
        </w:rPr>
      </w:pPr>
    </w:p>
    <w:p w14:paraId="4F4BAA1D" w14:textId="33B9BBAD" w:rsidR="000C20D9" w:rsidRPr="006D4BA1" w:rsidRDefault="000C20D9" w:rsidP="000C20D9">
      <w:pPr>
        <w:pStyle w:val="NoSpacing"/>
        <w:jc w:val="center"/>
        <w:rPr>
          <w:rFonts w:asciiTheme="majorBidi" w:hAnsiTheme="majorBidi" w:cstheme="majorBidi"/>
          <w:sz w:val="24"/>
          <w:szCs w:val="24"/>
        </w:rPr>
      </w:pPr>
      <w:r w:rsidRPr="006D4BA1">
        <w:rPr>
          <w:rFonts w:asciiTheme="majorBidi" w:hAnsiTheme="majorBidi" w:cstheme="majorBidi"/>
          <w:b/>
          <w:bCs/>
          <w:sz w:val="24"/>
          <w:szCs w:val="24"/>
        </w:rPr>
        <w:t>Prepared by:</w:t>
      </w:r>
      <w:r w:rsidRPr="006D4BA1">
        <w:rPr>
          <w:rFonts w:asciiTheme="majorBidi" w:hAnsiTheme="majorBidi" w:cstheme="majorBidi"/>
          <w:sz w:val="24"/>
          <w:szCs w:val="24"/>
        </w:rPr>
        <w:t xml:space="preserve"> MP. Ahmed Abdi Ibrahim (Timojilic)</w:t>
      </w:r>
    </w:p>
    <w:p w14:paraId="24CA0529" w14:textId="77777777" w:rsidR="000C20D9" w:rsidRPr="006D4BA1" w:rsidRDefault="000C20D9" w:rsidP="000C20D9">
      <w:pPr>
        <w:pStyle w:val="NoSpacing"/>
        <w:jc w:val="center"/>
        <w:rPr>
          <w:rFonts w:asciiTheme="majorBidi" w:hAnsiTheme="majorBidi" w:cstheme="majorBidi"/>
          <w:sz w:val="24"/>
          <w:szCs w:val="24"/>
        </w:rPr>
      </w:pPr>
      <w:r w:rsidRPr="006D4BA1">
        <w:rPr>
          <w:rFonts w:asciiTheme="majorBidi" w:hAnsiTheme="majorBidi" w:cstheme="majorBidi"/>
          <w:b/>
          <w:bCs/>
          <w:sz w:val="24"/>
          <w:szCs w:val="24"/>
        </w:rPr>
        <w:t>ID Number:</w:t>
      </w:r>
      <w:r w:rsidRPr="006D4BA1">
        <w:rPr>
          <w:rFonts w:asciiTheme="majorBidi" w:hAnsiTheme="majorBidi" w:cstheme="majorBidi"/>
          <w:sz w:val="24"/>
          <w:szCs w:val="24"/>
        </w:rPr>
        <w:t xml:space="preserve"> </w:t>
      </w:r>
      <w:r w:rsidRPr="001972CE">
        <w:rPr>
          <w:rFonts w:asciiTheme="majorBidi" w:hAnsiTheme="majorBidi" w:cstheme="majorBidi"/>
          <w:b/>
          <w:bCs/>
          <w:sz w:val="24"/>
          <w:szCs w:val="24"/>
        </w:rPr>
        <w:t>MAILD 001SL</w:t>
      </w:r>
    </w:p>
    <w:p w14:paraId="52E663D6" w14:textId="77777777" w:rsidR="001972CE" w:rsidRDefault="001972CE" w:rsidP="00D054F4">
      <w:pPr>
        <w:pStyle w:val="NoSpacing"/>
        <w:jc w:val="center"/>
        <w:rPr>
          <w:rFonts w:asciiTheme="majorBidi" w:hAnsiTheme="majorBidi" w:cstheme="majorBidi"/>
          <w:b/>
          <w:bCs/>
          <w:sz w:val="24"/>
          <w:szCs w:val="24"/>
        </w:rPr>
      </w:pPr>
    </w:p>
    <w:p w14:paraId="05A3AB88" w14:textId="77777777" w:rsidR="001972CE" w:rsidRDefault="001972CE" w:rsidP="00D054F4">
      <w:pPr>
        <w:pStyle w:val="NoSpacing"/>
        <w:jc w:val="center"/>
        <w:rPr>
          <w:rFonts w:asciiTheme="majorBidi" w:hAnsiTheme="majorBidi" w:cstheme="majorBidi"/>
          <w:b/>
          <w:bCs/>
          <w:sz w:val="24"/>
          <w:szCs w:val="24"/>
        </w:rPr>
      </w:pPr>
    </w:p>
    <w:p w14:paraId="74DD4DAE" w14:textId="6C57F6CB" w:rsidR="0094461D" w:rsidRPr="006D4BA1" w:rsidRDefault="00D054F4" w:rsidP="00D054F4">
      <w:pPr>
        <w:pStyle w:val="NoSpacing"/>
        <w:jc w:val="center"/>
        <w:rPr>
          <w:rFonts w:asciiTheme="majorBidi" w:hAnsiTheme="majorBidi" w:cstheme="majorBidi"/>
          <w:b/>
          <w:bCs/>
          <w:sz w:val="24"/>
          <w:szCs w:val="24"/>
        </w:rPr>
      </w:pPr>
      <w:r w:rsidRPr="006D4BA1">
        <w:rPr>
          <w:rFonts w:asciiTheme="majorBidi" w:hAnsiTheme="majorBidi" w:cstheme="majorBidi"/>
          <w:b/>
          <w:bCs/>
          <w:sz w:val="24"/>
          <w:szCs w:val="24"/>
        </w:rPr>
        <w:t>Supervised By</w:t>
      </w:r>
    </w:p>
    <w:p w14:paraId="1FF8C4DA" w14:textId="45926082" w:rsidR="00D054F4" w:rsidRPr="006D4BA1" w:rsidRDefault="00D054F4" w:rsidP="00D054F4">
      <w:pPr>
        <w:pStyle w:val="NoSpacing"/>
        <w:jc w:val="center"/>
        <w:rPr>
          <w:rFonts w:asciiTheme="majorBidi" w:hAnsiTheme="majorBidi" w:cstheme="majorBidi"/>
          <w:b/>
          <w:bCs/>
          <w:sz w:val="24"/>
          <w:szCs w:val="24"/>
        </w:rPr>
      </w:pPr>
      <w:r w:rsidRPr="006D4BA1">
        <w:rPr>
          <w:rFonts w:asciiTheme="majorBidi" w:hAnsiTheme="majorBidi" w:cstheme="majorBidi"/>
          <w:b/>
          <w:bCs/>
          <w:sz w:val="24"/>
          <w:szCs w:val="24"/>
        </w:rPr>
        <w:t>Dr, Samina Khan</w:t>
      </w:r>
    </w:p>
    <w:p w14:paraId="36EE6363" w14:textId="77777777" w:rsidR="001972CE" w:rsidRDefault="001972CE" w:rsidP="006D4BA1">
      <w:pPr>
        <w:pStyle w:val="NoSpacing"/>
        <w:jc w:val="center"/>
        <w:rPr>
          <w:rFonts w:asciiTheme="majorBidi" w:hAnsiTheme="majorBidi" w:cstheme="majorBidi"/>
          <w:b/>
          <w:bCs/>
          <w:sz w:val="24"/>
          <w:szCs w:val="24"/>
        </w:rPr>
      </w:pPr>
    </w:p>
    <w:p w14:paraId="09C828EE" w14:textId="77777777" w:rsidR="001972CE" w:rsidRDefault="001972CE" w:rsidP="006D4BA1">
      <w:pPr>
        <w:pStyle w:val="NoSpacing"/>
        <w:jc w:val="center"/>
        <w:rPr>
          <w:rFonts w:asciiTheme="majorBidi" w:hAnsiTheme="majorBidi" w:cstheme="majorBidi"/>
          <w:b/>
          <w:bCs/>
          <w:sz w:val="24"/>
          <w:szCs w:val="24"/>
        </w:rPr>
      </w:pPr>
    </w:p>
    <w:p w14:paraId="388101A8" w14:textId="3828038F" w:rsidR="00D054F4" w:rsidRPr="000C20D9" w:rsidRDefault="002B471A" w:rsidP="006D4BA1">
      <w:pPr>
        <w:pStyle w:val="NoSpacing"/>
        <w:jc w:val="center"/>
        <w:rPr>
          <w:rFonts w:asciiTheme="majorBidi" w:hAnsiTheme="majorBidi" w:cstheme="majorBidi"/>
          <w:b/>
          <w:bCs/>
          <w:sz w:val="32"/>
          <w:szCs w:val="32"/>
        </w:rPr>
      </w:pPr>
      <w:r w:rsidRPr="000C20D9">
        <w:rPr>
          <w:rFonts w:asciiTheme="majorBidi" w:hAnsiTheme="majorBidi" w:cstheme="majorBidi"/>
          <w:b/>
          <w:bCs/>
          <w:sz w:val="32"/>
          <w:szCs w:val="32"/>
        </w:rPr>
        <w:lastRenderedPageBreak/>
        <w:t>Systematic Literature Review</w:t>
      </w:r>
      <w:r w:rsidR="00D054F4" w:rsidRPr="000C20D9">
        <w:rPr>
          <w:rFonts w:asciiTheme="majorBidi" w:hAnsiTheme="majorBidi" w:cstheme="majorBidi"/>
          <w:b/>
          <w:bCs/>
          <w:sz w:val="32"/>
          <w:szCs w:val="32"/>
        </w:rPr>
        <w:t xml:space="preserve"> Essay</w:t>
      </w:r>
    </w:p>
    <w:p w14:paraId="0A3F1CEB" w14:textId="3F479737" w:rsidR="002B471A" w:rsidRPr="000C20D9" w:rsidRDefault="002B471A" w:rsidP="006D4BA1">
      <w:pPr>
        <w:pStyle w:val="NoSpacing"/>
        <w:jc w:val="center"/>
        <w:rPr>
          <w:rFonts w:asciiTheme="majorBidi" w:hAnsiTheme="majorBidi" w:cstheme="majorBidi"/>
          <w:b/>
          <w:bCs/>
          <w:sz w:val="32"/>
          <w:szCs w:val="32"/>
        </w:rPr>
      </w:pPr>
      <w:r w:rsidRPr="000C20D9">
        <w:rPr>
          <w:rFonts w:asciiTheme="majorBidi" w:hAnsiTheme="majorBidi" w:cstheme="majorBidi"/>
          <w:b/>
          <w:bCs/>
          <w:sz w:val="32"/>
          <w:szCs w:val="32"/>
        </w:rPr>
        <w:t>Critical and Emerging Perspectives in International Relations</w:t>
      </w:r>
    </w:p>
    <w:p w14:paraId="32450A7C" w14:textId="77777777" w:rsidR="002B471A" w:rsidRPr="002B471A" w:rsidRDefault="002B471A" w:rsidP="002B471A">
      <w:pPr>
        <w:spacing w:before="100" w:beforeAutospacing="1" w:after="100" w:afterAutospacing="1"/>
        <w:outlineLvl w:val="1"/>
        <w:rPr>
          <w:rFonts w:asciiTheme="majorBidi" w:eastAsia="Times New Roman" w:hAnsiTheme="majorBidi" w:cstheme="majorBidi"/>
          <w:b/>
          <w:bCs/>
          <w:sz w:val="36"/>
          <w:szCs w:val="36"/>
        </w:rPr>
      </w:pPr>
      <w:r w:rsidRPr="002B471A">
        <w:rPr>
          <w:rFonts w:asciiTheme="majorBidi" w:eastAsia="Times New Roman" w:hAnsiTheme="majorBidi" w:cstheme="majorBidi"/>
          <w:b/>
          <w:bCs/>
          <w:sz w:val="36"/>
          <w:szCs w:val="36"/>
        </w:rPr>
        <w:t>Executive Summary</w:t>
      </w:r>
    </w:p>
    <w:p w14:paraId="1DB009D8"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 xml:space="preserve">This systematic literature review evaluates critical and emerging perspectives in International Relations (IR), departing from mainstream state-centric frameworks (Realism and Liberalism) to analyze non-positivist paradigms. It synthesizes six critical theoretical domains: </w:t>
      </w:r>
      <w:r w:rsidRPr="002B471A">
        <w:rPr>
          <w:rFonts w:asciiTheme="majorBidi" w:eastAsia="Times New Roman" w:hAnsiTheme="majorBidi" w:cstheme="majorBidi"/>
          <w:b/>
          <w:bCs/>
          <w:sz w:val="24"/>
          <w:szCs w:val="24"/>
        </w:rPr>
        <w:t>Marxism &amp; Dependency Theory</w:t>
      </w:r>
      <w:r w:rsidRPr="002B471A">
        <w:rPr>
          <w:rFonts w:asciiTheme="majorBidi" w:eastAsia="Times New Roman" w:hAnsiTheme="majorBidi" w:cstheme="majorBidi"/>
          <w:sz w:val="24"/>
          <w:szCs w:val="24"/>
        </w:rPr>
        <w:t xml:space="preserve">, </w:t>
      </w:r>
      <w:r w:rsidRPr="002B471A">
        <w:rPr>
          <w:rFonts w:asciiTheme="majorBidi" w:eastAsia="Times New Roman" w:hAnsiTheme="majorBidi" w:cstheme="majorBidi"/>
          <w:b/>
          <w:bCs/>
          <w:sz w:val="24"/>
          <w:szCs w:val="24"/>
        </w:rPr>
        <w:t>Critical Theory</w:t>
      </w:r>
      <w:r w:rsidRPr="002B471A">
        <w:rPr>
          <w:rFonts w:asciiTheme="majorBidi" w:eastAsia="Times New Roman" w:hAnsiTheme="majorBidi" w:cstheme="majorBidi"/>
          <w:sz w:val="24"/>
          <w:szCs w:val="24"/>
        </w:rPr>
        <w:t xml:space="preserve">, </w:t>
      </w:r>
      <w:r w:rsidRPr="002B471A">
        <w:rPr>
          <w:rFonts w:asciiTheme="majorBidi" w:eastAsia="Times New Roman" w:hAnsiTheme="majorBidi" w:cstheme="majorBidi"/>
          <w:b/>
          <w:bCs/>
          <w:sz w:val="24"/>
          <w:szCs w:val="24"/>
        </w:rPr>
        <w:t>Feminist IR</w:t>
      </w:r>
      <w:r w:rsidRPr="002B471A">
        <w:rPr>
          <w:rFonts w:asciiTheme="majorBidi" w:eastAsia="Times New Roman" w:hAnsiTheme="majorBidi" w:cstheme="majorBidi"/>
          <w:sz w:val="24"/>
          <w:szCs w:val="24"/>
        </w:rPr>
        <w:t xml:space="preserve">, </w:t>
      </w:r>
      <w:r w:rsidRPr="002B471A">
        <w:rPr>
          <w:rFonts w:asciiTheme="majorBidi" w:eastAsia="Times New Roman" w:hAnsiTheme="majorBidi" w:cstheme="majorBidi"/>
          <w:b/>
          <w:bCs/>
          <w:sz w:val="24"/>
          <w:szCs w:val="24"/>
        </w:rPr>
        <w:t>Postcolonial Theory</w:t>
      </w:r>
      <w:r w:rsidRPr="002B471A">
        <w:rPr>
          <w:rFonts w:asciiTheme="majorBidi" w:eastAsia="Times New Roman" w:hAnsiTheme="majorBidi" w:cstheme="majorBidi"/>
          <w:sz w:val="24"/>
          <w:szCs w:val="24"/>
        </w:rPr>
        <w:t xml:space="preserve">, </w:t>
      </w:r>
      <w:r w:rsidRPr="002B471A">
        <w:rPr>
          <w:rFonts w:asciiTheme="majorBidi" w:eastAsia="Times New Roman" w:hAnsiTheme="majorBidi" w:cstheme="majorBidi"/>
          <w:b/>
          <w:bCs/>
          <w:sz w:val="24"/>
          <w:szCs w:val="24"/>
        </w:rPr>
        <w:t>Green Theory</w:t>
      </w:r>
      <w:r w:rsidRPr="002B471A">
        <w:rPr>
          <w:rFonts w:asciiTheme="majorBidi" w:eastAsia="Times New Roman" w:hAnsiTheme="majorBidi" w:cstheme="majorBidi"/>
          <w:sz w:val="24"/>
          <w:szCs w:val="24"/>
        </w:rPr>
        <w:t xml:space="preserve">, and </w:t>
      </w:r>
      <w:r w:rsidRPr="002B471A">
        <w:rPr>
          <w:rFonts w:asciiTheme="majorBidi" w:eastAsia="Times New Roman" w:hAnsiTheme="majorBidi" w:cstheme="majorBidi"/>
          <w:b/>
          <w:bCs/>
          <w:sz w:val="24"/>
          <w:szCs w:val="24"/>
        </w:rPr>
        <w:t>Human Security Theory</w:t>
      </w:r>
      <w:r w:rsidRPr="002B471A">
        <w:rPr>
          <w:rFonts w:asciiTheme="majorBidi" w:eastAsia="Times New Roman" w:hAnsiTheme="majorBidi" w:cstheme="majorBidi"/>
          <w:sz w:val="24"/>
          <w:szCs w:val="24"/>
        </w:rPr>
        <w:t>.</w:t>
      </w:r>
    </w:p>
    <w:p w14:paraId="0576724C" w14:textId="77777777" w:rsidR="002B471A" w:rsidRPr="002B471A" w:rsidRDefault="002B471A" w:rsidP="002B471A">
      <w:pPr>
        <w:spacing w:before="100" w:beforeAutospacing="1" w:after="100" w:afterAutospacing="1"/>
        <w:outlineLvl w:val="1"/>
        <w:rPr>
          <w:rFonts w:asciiTheme="majorBidi" w:eastAsia="Times New Roman" w:hAnsiTheme="majorBidi" w:cstheme="majorBidi"/>
          <w:b/>
          <w:bCs/>
          <w:sz w:val="28"/>
          <w:szCs w:val="28"/>
        </w:rPr>
      </w:pPr>
      <w:r w:rsidRPr="002B471A">
        <w:rPr>
          <w:rFonts w:asciiTheme="majorBidi" w:eastAsia="Times New Roman" w:hAnsiTheme="majorBidi" w:cstheme="majorBidi"/>
          <w:b/>
          <w:bCs/>
          <w:sz w:val="28"/>
          <w:szCs w:val="28"/>
        </w:rPr>
        <w:t>Synthesis Matrix Across Theoretical Domains</w:t>
      </w:r>
    </w:p>
    <w:tbl>
      <w:tblPr>
        <w:tblW w:w="11483" w:type="dxa"/>
        <w:tblCellSpacing w:w="15" w:type="dxa"/>
        <w:tblInd w:w="-1001" w:type="dxa"/>
        <w:tblLayout w:type="fixed"/>
        <w:tblCellMar>
          <w:top w:w="15" w:type="dxa"/>
          <w:left w:w="15" w:type="dxa"/>
          <w:bottom w:w="15" w:type="dxa"/>
          <w:right w:w="15" w:type="dxa"/>
        </w:tblCellMar>
        <w:tblLook w:val="04A0" w:firstRow="1" w:lastRow="0" w:firstColumn="1" w:lastColumn="0" w:noHBand="0" w:noVBand="1"/>
      </w:tblPr>
      <w:tblGrid>
        <w:gridCol w:w="1560"/>
        <w:gridCol w:w="2127"/>
        <w:gridCol w:w="2323"/>
        <w:gridCol w:w="2780"/>
        <w:gridCol w:w="2693"/>
      </w:tblGrid>
      <w:tr w:rsidR="00D054F4" w:rsidRPr="006D4BA1" w14:paraId="5B561E41" w14:textId="77777777" w:rsidTr="00D054F4">
        <w:trPr>
          <w:tblHeade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0B8462" w14:textId="77777777" w:rsidR="002B471A" w:rsidRPr="006D4BA1" w:rsidRDefault="002B471A" w:rsidP="002B471A">
            <w:pPr>
              <w:pStyle w:val="NoSpacing"/>
              <w:rPr>
                <w:rFonts w:asciiTheme="majorBidi" w:hAnsiTheme="majorBidi" w:cstheme="majorBidi"/>
                <w:b/>
                <w:bCs/>
                <w:sz w:val="24"/>
                <w:szCs w:val="24"/>
              </w:rPr>
            </w:pPr>
            <w:r w:rsidRPr="006D4BA1">
              <w:rPr>
                <w:rFonts w:asciiTheme="majorBidi" w:hAnsiTheme="majorBidi" w:cstheme="majorBidi"/>
                <w:b/>
                <w:bCs/>
                <w:sz w:val="24"/>
                <w:szCs w:val="24"/>
              </w:rPr>
              <w:t>Theoretical Domain</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E274F9" w14:textId="77777777" w:rsidR="002B471A" w:rsidRPr="006D4BA1" w:rsidRDefault="002B471A" w:rsidP="002B471A">
            <w:pPr>
              <w:pStyle w:val="NoSpacing"/>
              <w:rPr>
                <w:rFonts w:asciiTheme="majorBidi" w:hAnsiTheme="majorBidi" w:cstheme="majorBidi"/>
                <w:b/>
                <w:bCs/>
                <w:sz w:val="24"/>
                <w:szCs w:val="24"/>
              </w:rPr>
            </w:pPr>
            <w:r w:rsidRPr="006D4BA1">
              <w:rPr>
                <w:rFonts w:asciiTheme="majorBidi" w:hAnsiTheme="majorBidi" w:cstheme="majorBidi"/>
                <w:b/>
                <w:bCs/>
                <w:sz w:val="24"/>
                <w:szCs w:val="24"/>
              </w:rPr>
              <w:t>Key Theorists / Core Concepts</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AE5857" w14:textId="77777777" w:rsidR="002B471A" w:rsidRPr="006D4BA1" w:rsidRDefault="002B471A" w:rsidP="002B471A">
            <w:pPr>
              <w:pStyle w:val="NoSpacing"/>
              <w:rPr>
                <w:rFonts w:asciiTheme="majorBidi" w:hAnsiTheme="majorBidi" w:cstheme="majorBidi"/>
                <w:b/>
                <w:bCs/>
                <w:sz w:val="24"/>
                <w:szCs w:val="24"/>
              </w:rPr>
            </w:pPr>
            <w:r w:rsidRPr="006D4BA1">
              <w:rPr>
                <w:rFonts w:asciiTheme="majorBidi" w:hAnsiTheme="majorBidi" w:cstheme="majorBidi"/>
                <w:b/>
                <w:bCs/>
                <w:sz w:val="24"/>
                <w:szCs w:val="24"/>
              </w:rPr>
              <w:t>Methodological Approach</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7FB9F4" w14:textId="77777777" w:rsidR="002B471A" w:rsidRPr="006D4BA1" w:rsidRDefault="002B471A" w:rsidP="002B471A">
            <w:pPr>
              <w:pStyle w:val="NoSpacing"/>
              <w:rPr>
                <w:rFonts w:asciiTheme="majorBidi" w:hAnsiTheme="majorBidi" w:cstheme="majorBidi"/>
                <w:b/>
                <w:bCs/>
                <w:sz w:val="24"/>
                <w:szCs w:val="24"/>
              </w:rPr>
            </w:pPr>
            <w:r w:rsidRPr="006D4BA1">
              <w:rPr>
                <w:rFonts w:asciiTheme="majorBidi" w:hAnsiTheme="majorBidi" w:cstheme="majorBidi"/>
                <w:b/>
                <w:bCs/>
                <w:sz w:val="24"/>
                <w:szCs w:val="24"/>
              </w:rPr>
              <w:t>Mainstream Critique</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0D8FE6" w14:textId="77777777" w:rsidR="002B471A" w:rsidRPr="006D4BA1" w:rsidRDefault="002B471A" w:rsidP="002B471A">
            <w:pPr>
              <w:pStyle w:val="NoSpacing"/>
              <w:rPr>
                <w:rFonts w:asciiTheme="majorBidi" w:hAnsiTheme="majorBidi" w:cstheme="majorBidi"/>
                <w:b/>
                <w:bCs/>
                <w:sz w:val="24"/>
                <w:szCs w:val="24"/>
              </w:rPr>
            </w:pPr>
            <w:r w:rsidRPr="006D4BA1">
              <w:rPr>
                <w:rFonts w:asciiTheme="majorBidi" w:hAnsiTheme="majorBidi" w:cstheme="majorBidi"/>
                <w:b/>
                <w:bCs/>
                <w:sz w:val="24"/>
                <w:szCs w:val="24"/>
              </w:rPr>
              <w:t>Primary Research Gap</w:t>
            </w:r>
          </w:p>
        </w:tc>
      </w:tr>
      <w:tr w:rsidR="00D054F4" w:rsidRPr="006D4BA1" w14:paraId="694F2187" w14:textId="77777777" w:rsidTr="00D054F4">
        <w:trP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D38A31"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Marxism &amp; Dependency</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6946D3"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Marx, Lenin, Wallerstein, Core-Periphery, Capital Accumulation</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CF025E"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Historical Materialism, World-Systems Analysis</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9A9169"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Rejects anarchy as primary driver; centers global capital exploitation</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C94AFF"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Integration of digital capitalism, algorithmic rent, and green extractivism</w:t>
            </w:r>
          </w:p>
        </w:tc>
      </w:tr>
      <w:tr w:rsidR="00D054F4" w:rsidRPr="006D4BA1" w14:paraId="023B7A12" w14:textId="77777777" w:rsidTr="00D054F4">
        <w:trP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C632DA"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Critical Theory</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99A3DF"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Robert Cox, Frankfurt School, Gramsci, Historical Structures</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307136"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Immanent Critique, Historical Sociology, Discourse Analysis</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73FE3C"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Rejects "problem-solving theory"; exposes theory as an instrument of hegemony</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ED0090"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Operationalization of emancipatory praxis in multipolar, non-Western contexts</w:t>
            </w:r>
          </w:p>
        </w:tc>
      </w:tr>
      <w:tr w:rsidR="00D054F4" w:rsidRPr="006D4BA1" w14:paraId="61CDE0CE" w14:textId="77777777" w:rsidTr="00D054F4">
        <w:trP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C6AB47"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Feminist IR</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A5991C"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Enloe, Tickner, Sylvester, Gendered Security, Intersectionality</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EFC19A"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Feminist Epistemology, Narrative Inquiry, Autoethnography</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E32980"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Rejects abstract, rational-man "statism"; exposes masculine security logic</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BC1DBF"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Gendered dimensions of AI warfare, autonomous systems, and digital surveillance</w:t>
            </w:r>
          </w:p>
        </w:tc>
      </w:tr>
      <w:tr w:rsidR="00D054F4" w:rsidRPr="006D4BA1" w14:paraId="0CBE7AE5" w14:textId="77777777" w:rsidTr="00D054F4">
        <w:trP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36366C"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Postcolonial Theory</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D2A32D"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Said, Spivak, Fanon, Coloniality of Power, Decolonization</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CADC4C" w14:textId="23D75E7D" w:rsidR="002B471A" w:rsidRPr="006D4BA1" w:rsidRDefault="00D054F4" w:rsidP="002B471A">
            <w:pPr>
              <w:pStyle w:val="NoSpacing"/>
              <w:rPr>
                <w:rFonts w:asciiTheme="majorBidi" w:hAnsiTheme="majorBidi" w:cstheme="majorBidi"/>
                <w:sz w:val="24"/>
                <w:szCs w:val="24"/>
              </w:rPr>
            </w:pPr>
            <w:r w:rsidRPr="006D4BA1">
              <w:rPr>
                <w:rFonts w:asciiTheme="majorBidi" w:hAnsiTheme="majorBidi" w:cstheme="majorBidi"/>
                <w:sz w:val="24"/>
                <w:szCs w:val="24"/>
              </w:rPr>
              <w:t>Post structural</w:t>
            </w:r>
            <w:r w:rsidR="002B471A" w:rsidRPr="006D4BA1">
              <w:rPr>
                <w:rFonts w:asciiTheme="majorBidi" w:hAnsiTheme="majorBidi" w:cstheme="majorBidi"/>
                <w:sz w:val="24"/>
                <w:szCs w:val="24"/>
              </w:rPr>
              <w:t xml:space="preserve"> Discourse Analysis, Archival Deconstruction</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723F7B"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Exposes Eurocentric parochialism and colonial roots of IR concepts</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FA0C80"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Bridging theoretical deconstruction with practical policymaking/institutional design</w:t>
            </w:r>
          </w:p>
        </w:tc>
      </w:tr>
      <w:tr w:rsidR="00D054F4" w:rsidRPr="006D4BA1" w14:paraId="06FE4F8B" w14:textId="77777777" w:rsidTr="00D054F4">
        <w:trP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7D685B"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Green Theory</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191146"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 xml:space="preserve">Dobson, Eckersley, Anthropocene, </w:t>
            </w:r>
            <w:r w:rsidRPr="006D4BA1">
              <w:rPr>
                <w:rFonts w:asciiTheme="majorBidi" w:hAnsiTheme="majorBidi" w:cstheme="majorBidi"/>
                <w:sz w:val="24"/>
                <w:szCs w:val="24"/>
              </w:rPr>
              <w:lastRenderedPageBreak/>
              <w:t>Ecological Justice</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B87655" w14:textId="1E5F0B77" w:rsidR="002B471A" w:rsidRPr="006D4BA1" w:rsidRDefault="00D054F4" w:rsidP="002B471A">
            <w:pPr>
              <w:pStyle w:val="NoSpacing"/>
              <w:rPr>
                <w:rFonts w:asciiTheme="majorBidi" w:hAnsiTheme="majorBidi" w:cstheme="majorBidi"/>
                <w:sz w:val="24"/>
                <w:szCs w:val="24"/>
              </w:rPr>
            </w:pPr>
            <w:r w:rsidRPr="006D4BA1">
              <w:rPr>
                <w:rFonts w:asciiTheme="majorBidi" w:hAnsiTheme="majorBidi" w:cstheme="majorBidi"/>
                <w:sz w:val="24"/>
                <w:szCs w:val="24"/>
              </w:rPr>
              <w:lastRenderedPageBreak/>
              <w:t>Eco centric</w:t>
            </w:r>
            <w:r w:rsidR="002B471A" w:rsidRPr="006D4BA1">
              <w:rPr>
                <w:rFonts w:asciiTheme="majorBidi" w:hAnsiTheme="majorBidi" w:cstheme="majorBidi"/>
                <w:sz w:val="24"/>
                <w:szCs w:val="24"/>
              </w:rPr>
              <w:t xml:space="preserve"> Analysis, Planetary </w:t>
            </w:r>
            <w:r w:rsidR="002B471A" w:rsidRPr="006D4BA1">
              <w:rPr>
                <w:rFonts w:asciiTheme="majorBidi" w:hAnsiTheme="majorBidi" w:cstheme="majorBidi"/>
                <w:sz w:val="24"/>
                <w:szCs w:val="24"/>
              </w:rPr>
              <w:lastRenderedPageBreak/>
              <w:t>Boundary Modeling</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A08BCC"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lastRenderedPageBreak/>
              <w:t xml:space="preserve">Rejects state-centric short-termism and </w:t>
            </w:r>
            <w:r w:rsidRPr="006D4BA1">
              <w:rPr>
                <w:rFonts w:asciiTheme="majorBidi" w:hAnsiTheme="majorBidi" w:cstheme="majorBidi"/>
                <w:sz w:val="24"/>
                <w:szCs w:val="24"/>
              </w:rPr>
              <w:lastRenderedPageBreak/>
              <w:t>industrial growth imperatives</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1FE0C2"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lastRenderedPageBreak/>
              <w:t xml:space="preserve">Reconciling Global South developmental </w:t>
            </w:r>
            <w:r w:rsidRPr="006D4BA1">
              <w:rPr>
                <w:rFonts w:asciiTheme="majorBidi" w:hAnsiTheme="majorBidi" w:cstheme="majorBidi"/>
                <w:sz w:val="24"/>
                <w:szCs w:val="24"/>
              </w:rPr>
              <w:lastRenderedPageBreak/>
              <w:t>needs with global ecocentric governance</w:t>
            </w:r>
          </w:p>
        </w:tc>
      </w:tr>
      <w:tr w:rsidR="00D054F4" w:rsidRPr="006D4BA1" w14:paraId="573B92CC" w14:textId="77777777" w:rsidTr="00D054F4">
        <w:trPr>
          <w:tblCellSpacing w:w="15" w:type="dxa"/>
        </w:trPr>
        <w:tc>
          <w:tcPr>
            <w:tcW w:w="15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3E2B89"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lastRenderedPageBreak/>
              <w:t>Human Security</w:t>
            </w:r>
          </w:p>
        </w:tc>
        <w:tc>
          <w:tcPr>
            <w:tcW w:w="20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190EC6"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Haq, Sen, UNDP (1994), Freedom from Fear &amp; Want</w:t>
            </w:r>
          </w:p>
        </w:tc>
        <w:tc>
          <w:tcPr>
            <w:tcW w:w="229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5879E6"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Multidimensional Well-Being Metrics, Micro-Level Impact Studies</w:t>
            </w:r>
          </w:p>
        </w:tc>
        <w:tc>
          <w:tcPr>
            <w:tcW w:w="27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4960B2"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Shifts referent object from sovereign state border protection to individual survival</w:t>
            </w:r>
          </w:p>
        </w:tc>
        <w:tc>
          <w:tcPr>
            <w:tcW w:w="2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0F54F9" w14:textId="77777777" w:rsidR="002B471A" w:rsidRPr="006D4BA1" w:rsidRDefault="002B471A" w:rsidP="002B471A">
            <w:pPr>
              <w:pStyle w:val="NoSpacing"/>
              <w:rPr>
                <w:rFonts w:asciiTheme="majorBidi" w:hAnsiTheme="majorBidi" w:cstheme="majorBidi"/>
                <w:sz w:val="24"/>
                <w:szCs w:val="24"/>
              </w:rPr>
            </w:pPr>
            <w:r w:rsidRPr="006D4BA1">
              <w:rPr>
                <w:rFonts w:asciiTheme="majorBidi" w:hAnsiTheme="majorBidi" w:cstheme="majorBidi"/>
                <w:sz w:val="24"/>
                <w:szCs w:val="24"/>
              </w:rPr>
              <w:t>Policy securitization risks and operationalization during climate/epidemic crises</w:t>
            </w:r>
          </w:p>
        </w:tc>
      </w:tr>
    </w:tbl>
    <w:p w14:paraId="237B7ABF" w14:textId="77777777" w:rsidR="002B471A" w:rsidRPr="002B471A" w:rsidRDefault="002B471A" w:rsidP="002B471A">
      <w:pPr>
        <w:spacing w:before="100" w:beforeAutospacing="1" w:after="100" w:afterAutospacing="1"/>
        <w:outlineLvl w:val="1"/>
        <w:rPr>
          <w:rFonts w:asciiTheme="majorBidi" w:eastAsia="Times New Roman" w:hAnsiTheme="majorBidi" w:cstheme="majorBidi"/>
          <w:b/>
          <w:bCs/>
          <w:sz w:val="32"/>
          <w:szCs w:val="32"/>
        </w:rPr>
      </w:pPr>
      <w:r w:rsidRPr="002B471A">
        <w:rPr>
          <w:rFonts w:asciiTheme="majorBidi" w:eastAsia="Times New Roman" w:hAnsiTheme="majorBidi" w:cstheme="majorBidi"/>
          <w:b/>
          <w:bCs/>
          <w:sz w:val="32"/>
          <w:szCs w:val="32"/>
        </w:rPr>
        <w:t>Systematic Evaluation by Theoretical Paradigm</w:t>
      </w:r>
    </w:p>
    <w:p w14:paraId="5320B4AC" w14:textId="77777777" w:rsidR="002B471A" w:rsidRPr="002B471A" w:rsidRDefault="002B471A" w:rsidP="002B471A">
      <w:pPr>
        <w:spacing w:before="100" w:beforeAutospacing="1" w:after="100" w:afterAutospacing="1"/>
        <w:outlineLvl w:val="2"/>
        <w:rPr>
          <w:rFonts w:asciiTheme="majorBidi" w:eastAsia="Times New Roman" w:hAnsiTheme="majorBidi" w:cstheme="majorBidi"/>
          <w:b/>
          <w:bCs/>
          <w:sz w:val="28"/>
          <w:szCs w:val="28"/>
        </w:rPr>
      </w:pPr>
      <w:r w:rsidRPr="002B471A">
        <w:rPr>
          <w:rFonts w:asciiTheme="majorBidi" w:eastAsia="Times New Roman" w:hAnsiTheme="majorBidi" w:cstheme="majorBidi"/>
          <w:b/>
          <w:bCs/>
          <w:sz w:val="28"/>
          <w:szCs w:val="28"/>
        </w:rPr>
        <w:t>1. Marxism, Dependency Theory, and World-Systems Analysis</w:t>
      </w:r>
    </w:p>
    <w:p w14:paraId="28C008AC"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 Premises &amp; Concepts</w:t>
      </w:r>
    </w:p>
    <w:p w14:paraId="6A196E52" w14:textId="77777777" w:rsidR="002B471A" w:rsidRPr="002B471A" w:rsidRDefault="002B471A" w:rsidP="006D4BA1">
      <w:pPr>
        <w:spacing w:before="100" w:beforeAutospacing="1" w:after="100" w:afterAutospacing="1"/>
        <w:jc w:val="both"/>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Marxist approaches reject the realist assumption of anarchy as the defining feature of world politics, arguing instead that the global system is defined by global capitalism and class relations. Karl Marx’s foundational critique of political economy provides the historical materialist lens: foreign policy and international structures reflect underlying relations of production. Vladimir Lenin extended this to the international scale, framing imperialism as the highest stage of capitalism driven by financial monopolies competing for global markets.</w:t>
      </w:r>
    </w:p>
    <w:p w14:paraId="6CAA36B3"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Immanuel Wallerstein formalized World-Systems Theory, dividing the global economy into a structural hierarchy:</w:t>
      </w:r>
    </w:p>
    <w:p w14:paraId="590154FB" w14:textId="77777777" w:rsidR="002B471A" w:rsidRPr="002B471A" w:rsidRDefault="002B471A" w:rsidP="002B471A">
      <w:pPr>
        <w:numPr>
          <w:ilvl w:val="0"/>
          <w:numId w:val="16"/>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w:t>
      </w:r>
      <w:r w:rsidRPr="002B471A">
        <w:rPr>
          <w:rFonts w:asciiTheme="majorBidi" w:eastAsia="Times New Roman" w:hAnsiTheme="majorBidi" w:cstheme="majorBidi"/>
          <w:sz w:val="24"/>
          <w:szCs w:val="24"/>
        </w:rPr>
        <w:t xml:space="preserve"> High-skill, capital-intensive production capturing surplus value.</w:t>
      </w:r>
    </w:p>
    <w:p w14:paraId="23260703" w14:textId="77777777" w:rsidR="002B471A" w:rsidRPr="002B471A" w:rsidRDefault="002B471A" w:rsidP="002B471A">
      <w:pPr>
        <w:numPr>
          <w:ilvl w:val="0"/>
          <w:numId w:val="16"/>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Periphery:</w:t>
      </w:r>
      <w:r w:rsidRPr="002B471A">
        <w:rPr>
          <w:rFonts w:asciiTheme="majorBidi" w:eastAsia="Times New Roman" w:hAnsiTheme="majorBidi" w:cstheme="majorBidi"/>
          <w:sz w:val="24"/>
          <w:szCs w:val="24"/>
        </w:rPr>
        <w:t xml:space="preserve"> Low-skill, labor-intensive extraction and low-wage production.</w:t>
      </w:r>
    </w:p>
    <w:p w14:paraId="04E7D22A" w14:textId="77777777" w:rsidR="002B471A" w:rsidRPr="002B471A" w:rsidRDefault="002B471A" w:rsidP="002B471A">
      <w:pPr>
        <w:numPr>
          <w:ilvl w:val="0"/>
          <w:numId w:val="16"/>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Semi-Periphery:</w:t>
      </w:r>
      <w:r w:rsidRPr="002B471A">
        <w:rPr>
          <w:rFonts w:asciiTheme="majorBidi" w:eastAsia="Times New Roman" w:hAnsiTheme="majorBidi" w:cstheme="majorBidi"/>
          <w:sz w:val="24"/>
          <w:szCs w:val="24"/>
        </w:rPr>
        <w:t xml:space="preserve"> Hybrid buffer zones maintaining structural balance.</w:t>
      </w:r>
    </w:p>
    <w:p w14:paraId="4C764117"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Dependency theorists (such as Raul Prebisch and Andre Gunder Frank) demonstrated that underdevelopment is not an early stage of development, but an active, structural condition produced by unequal exchange between core and peripheral regions.</w:t>
      </w:r>
    </w:p>
    <w:p w14:paraId="61584FE7" w14:textId="77777777" w:rsidR="00B56422" w:rsidRPr="00B56422" w:rsidRDefault="00B56422" w:rsidP="00B56422">
      <w:pPr>
        <w:spacing w:before="100" w:beforeAutospacing="1" w:after="100" w:afterAutospacing="1"/>
        <w:outlineLvl w:val="2"/>
        <w:rPr>
          <w:rFonts w:asciiTheme="majorBidi" w:eastAsia="Times New Roman" w:hAnsiTheme="majorBidi" w:cstheme="majorBidi"/>
          <w:b/>
          <w:bCs/>
          <w:sz w:val="32"/>
          <w:szCs w:val="32"/>
        </w:rPr>
      </w:pPr>
      <w:r w:rsidRPr="00B56422">
        <w:rPr>
          <w:rFonts w:asciiTheme="majorBidi" w:eastAsia="Times New Roman" w:hAnsiTheme="majorBidi" w:cstheme="majorBidi"/>
          <w:b/>
          <w:bCs/>
          <w:sz w:val="32"/>
          <w:szCs w:val="32"/>
        </w:rPr>
        <w:t>World-Systems Core-Periphery Model</w:t>
      </w:r>
    </w:p>
    <w:tbl>
      <w:tblPr>
        <w:tblW w:w="10065" w:type="dxa"/>
        <w:tblCellSpacing w:w="15" w:type="dxa"/>
        <w:tblInd w:w="-292" w:type="dxa"/>
        <w:tblCellMar>
          <w:top w:w="15" w:type="dxa"/>
          <w:left w:w="15" w:type="dxa"/>
          <w:bottom w:w="15" w:type="dxa"/>
          <w:right w:w="15" w:type="dxa"/>
        </w:tblCellMar>
        <w:tblLook w:val="04A0" w:firstRow="1" w:lastRow="0" w:firstColumn="1" w:lastColumn="0" w:noHBand="0" w:noVBand="1"/>
      </w:tblPr>
      <w:tblGrid>
        <w:gridCol w:w="1928"/>
        <w:gridCol w:w="2751"/>
        <w:gridCol w:w="5386"/>
      </w:tblGrid>
      <w:tr w:rsidR="00B56422" w:rsidRPr="006D4BA1" w14:paraId="67546D8E" w14:textId="77777777" w:rsidTr="00B56422">
        <w:trPr>
          <w:tblHeader/>
          <w:tblCellSpacing w:w="15" w:type="dxa"/>
        </w:trPr>
        <w:tc>
          <w:tcPr>
            <w:tcW w:w="188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FE2F41"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lastRenderedPageBreak/>
              <w:t>Structural Zone</w:t>
            </w:r>
          </w:p>
        </w:tc>
        <w:tc>
          <w:tcPr>
            <w:tcW w:w="272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679E64"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Zone Function</w:t>
            </w:r>
          </w:p>
        </w:tc>
        <w:tc>
          <w:tcPr>
            <w:tcW w:w="534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342AA3"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Exchange Flow &amp; Structural Role</w:t>
            </w:r>
          </w:p>
        </w:tc>
      </w:tr>
      <w:tr w:rsidR="00B56422" w:rsidRPr="006D4BA1" w14:paraId="5BF65200" w14:textId="77777777" w:rsidTr="00B56422">
        <w:trPr>
          <w:tblCellSpacing w:w="15" w:type="dxa"/>
        </w:trPr>
        <w:tc>
          <w:tcPr>
            <w:tcW w:w="188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FBBF39"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Core</w:t>
            </w:r>
          </w:p>
        </w:tc>
        <w:tc>
          <w:tcPr>
            <w:tcW w:w="272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E3B0FE"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Dominant Economic Zone</w:t>
            </w:r>
          </w:p>
        </w:tc>
        <w:tc>
          <w:tcPr>
            <w:tcW w:w="534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A814B4" w14:textId="47A3286E"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Inbound Flow: Receives low-cost raw materials &amp; extracted surplus from Periphery.</w:t>
            </w:r>
          </w:p>
          <w:p w14:paraId="062F344E"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Outbound Flow: Exports high-value manufactured goods to Periphery.</w:t>
            </w:r>
          </w:p>
        </w:tc>
      </w:tr>
      <w:tr w:rsidR="00B56422" w:rsidRPr="006D4BA1" w14:paraId="334F2091" w14:textId="77777777" w:rsidTr="00B56422">
        <w:trPr>
          <w:tblCellSpacing w:w="15" w:type="dxa"/>
        </w:trPr>
        <w:tc>
          <w:tcPr>
            <w:tcW w:w="188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B4B6A6"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Periphery</w:t>
            </w:r>
          </w:p>
        </w:tc>
        <w:tc>
          <w:tcPr>
            <w:tcW w:w="272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CFC052"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Exploited Economic Zone</w:t>
            </w:r>
          </w:p>
        </w:tc>
        <w:tc>
          <w:tcPr>
            <w:tcW w:w="534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BC09B2" w14:textId="17374692"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Structural Condition: Structural Dependency.</w:t>
            </w:r>
          </w:p>
          <w:p w14:paraId="72CCBBD7"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Outbound Flow: Supplies low-cost raw materials &amp; surplus extraction to Core.</w:t>
            </w:r>
          </w:p>
        </w:tc>
      </w:tr>
      <w:tr w:rsidR="00B56422" w:rsidRPr="006D4BA1" w14:paraId="04E4C831" w14:textId="77777777" w:rsidTr="00B56422">
        <w:trPr>
          <w:tblCellSpacing w:w="15" w:type="dxa"/>
        </w:trPr>
        <w:tc>
          <w:tcPr>
            <w:tcW w:w="188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A11F15"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Semi-Periphery</w:t>
            </w:r>
          </w:p>
        </w:tc>
        <w:tc>
          <w:tcPr>
            <w:tcW w:w="272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32629D"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Intermediate Hybrid Zone</w:t>
            </w:r>
          </w:p>
        </w:tc>
        <w:tc>
          <w:tcPr>
            <w:tcW w:w="534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FDEFCA"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Structural Role: Stabilizing Buffer between Core and Periphery.</w:t>
            </w:r>
          </w:p>
        </w:tc>
      </w:tr>
    </w:tbl>
    <w:p w14:paraId="38781A0A" w14:textId="77777777" w:rsidR="002B471A" w:rsidRPr="002B471A" w:rsidRDefault="002B471A" w:rsidP="002B471A">
      <w:pPr>
        <w:spacing w:before="100" w:beforeAutospacing="1" w:after="100" w:afterAutospacing="1"/>
        <w:rPr>
          <w:rFonts w:asciiTheme="majorBidi" w:eastAsia="Times New Roman" w:hAnsiTheme="majorBidi" w:cstheme="majorBidi"/>
          <w:sz w:val="28"/>
          <w:szCs w:val="28"/>
        </w:rPr>
      </w:pPr>
      <w:r w:rsidRPr="002B471A">
        <w:rPr>
          <w:rFonts w:asciiTheme="majorBidi" w:eastAsia="Times New Roman" w:hAnsiTheme="majorBidi" w:cstheme="majorBidi"/>
          <w:b/>
          <w:bCs/>
          <w:sz w:val="28"/>
          <w:szCs w:val="28"/>
        </w:rPr>
        <w:t>Scholarly Debates &amp; Methodological Approaches</w:t>
      </w:r>
    </w:p>
    <w:p w14:paraId="728BD62F" w14:textId="77777777" w:rsidR="002B471A" w:rsidRPr="002B471A" w:rsidRDefault="002B471A" w:rsidP="002B471A">
      <w:pPr>
        <w:numPr>
          <w:ilvl w:val="0"/>
          <w:numId w:val="17"/>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Debates:</w:t>
      </w:r>
      <w:r w:rsidRPr="002B471A">
        <w:rPr>
          <w:rFonts w:asciiTheme="majorBidi" w:eastAsia="Times New Roman" w:hAnsiTheme="majorBidi" w:cstheme="majorBidi"/>
          <w:sz w:val="24"/>
          <w:szCs w:val="24"/>
        </w:rPr>
        <w:t xml:space="preserve"> Current scholarship focuses on whether globalized supply chains have fractured traditional state-based core-periphery lines into transnational class divisions. Debates also center on the role of state-capitalism (e.g., China's belt and road networks) within the global capitalist order.</w:t>
      </w:r>
    </w:p>
    <w:p w14:paraId="79A4C022" w14:textId="77777777" w:rsidR="002B471A" w:rsidRPr="002B471A" w:rsidRDefault="002B471A" w:rsidP="002B471A">
      <w:pPr>
        <w:numPr>
          <w:ilvl w:val="0"/>
          <w:numId w:val="17"/>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Methodology:</w:t>
      </w:r>
      <w:r w:rsidRPr="002B471A">
        <w:rPr>
          <w:rFonts w:asciiTheme="majorBidi" w:eastAsia="Times New Roman" w:hAnsiTheme="majorBidi" w:cstheme="majorBidi"/>
          <w:sz w:val="24"/>
          <w:szCs w:val="24"/>
        </w:rPr>
        <w:t xml:space="preserve"> Relies on historical materialism, macro-level historical sociology, comparative world-system analyses, and global value-chain tracking.</w:t>
      </w:r>
    </w:p>
    <w:p w14:paraId="406BCA51" w14:textId="77777777" w:rsidR="002B471A" w:rsidRPr="002B471A" w:rsidRDefault="002B471A" w:rsidP="002B471A">
      <w:pPr>
        <w:spacing w:before="100" w:beforeAutospacing="1" w:after="100" w:afterAutospacing="1"/>
        <w:rPr>
          <w:rFonts w:asciiTheme="majorBidi" w:eastAsia="Times New Roman" w:hAnsiTheme="majorBidi" w:cstheme="majorBidi"/>
          <w:sz w:val="28"/>
          <w:szCs w:val="28"/>
        </w:rPr>
      </w:pPr>
      <w:r w:rsidRPr="002B471A">
        <w:rPr>
          <w:rFonts w:asciiTheme="majorBidi" w:eastAsia="Times New Roman" w:hAnsiTheme="majorBidi" w:cstheme="majorBidi"/>
          <w:b/>
          <w:bCs/>
          <w:sz w:val="28"/>
          <w:szCs w:val="28"/>
        </w:rPr>
        <w:t>Gaps &amp; Future Research Directions</w:t>
      </w:r>
    </w:p>
    <w:p w14:paraId="023D69E9" w14:textId="77777777" w:rsidR="002B471A" w:rsidRPr="002B471A" w:rsidRDefault="002B471A" w:rsidP="002B471A">
      <w:pPr>
        <w:numPr>
          <w:ilvl w:val="0"/>
          <w:numId w:val="18"/>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Research Gap:</w:t>
      </w:r>
      <w:r w:rsidRPr="002B471A">
        <w:rPr>
          <w:rFonts w:asciiTheme="majorBidi" w:eastAsia="Times New Roman" w:hAnsiTheme="majorBidi" w:cstheme="majorBidi"/>
          <w:sz w:val="24"/>
          <w:szCs w:val="24"/>
        </w:rPr>
        <w:t xml:space="preserve"> Limited theoretical integration between classical land/resource extraction models and digital/informational capitalism (e.g., global data extraction, tech platform monopolies).</w:t>
      </w:r>
    </w:p>
    <w:p w14:paraId="0914B304" w14:textId="77777777" w:rsidR="002B471A" w:rsidRPr="002B471A" w:rsidRDefault="002B471A" w:rsidP="002B471A">
      <w:pPr>
        <w:numPr>
          <w:ilvl w:val="0"/>
          <w:numId w:val="18"/>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Future Direction:</w:t>
      </w:r>
      <w:r w:rsidRPr="002B471A">
        <w:rPr>
          <w:rFonts w:asciiTheme="majorBidi" w:eastAsia="Times New Roman" w:hAnsiTheme="majorBidi" w:cstheme="majorBidi"/>
          <w:sz w:val="24"/>
          <w:szCs w:val="24"/>
        </w:rPr>
        <w:t xml:space="preserve"> Mapping "Green Extractivism"—how the Western green transition drives critical mineral exploitation in the Global South under traditional core-periphery dynamics.</w:t>
      </w:r>
    </w:p>
    <w:p w14:paraId="7A2449BD" w14:textId="77777777" w:rsidR="002B471A" w:rsidRPr="002B471A" w:rsidRDefault="002B471A" w:rsidP="002B471A">
      <w:pPr>
        <w:spacing w:before="100" w:beforeAutospacing="1" w:after="100" w:afterAutospacing="1"/>
        <w:outlineLvl w:val="2"/>
        <w:rPr>
          <w:rFonts w:asciiTheme="majorBidi" w:eastAsia="Times New Roman" w:hAnsiTheme="majorBidi" w:cstheme="majorBidi"/>
          <w:b/>
          <w:bCs/>
          <w:sz w:val="32"/>
          <w:szCs w:val="32"/>
        </w:rPr>
      </w:pPr>
      <w:r w:rsidRPr="002B471A">
        <w:rPr>
          <w:rFonts w:asciiTheme="majorBidi" w:eastAsia="Times New Roman" w:hAnsiTheme="majorBidi" w:cstheme="majorBidi"/>
          <w:b/>
          <w:bCs/>
          <w:sz w:val="32"/>
          <w:szCs w:val="32"/>
        </w:rPr>
        <w:t>2. Critical Theory and the Frankfurt School</w:t>
      </w:r>
    </w:p>
    <w:p w14:paraId="5D2DCBB7"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 Premises &amp; Concepts</w:t>
      </w:r>
    </w:p>
    <w:p w14:paraId="40ED03F9"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Rooted in the Frankfurt School (Horkheimer, Adorno, Habermas) and Neo-Gramscian thought, Critical IR interrogates the origin and purpose of knowledge. Robert Cox formulated the foundational distinction:</w:t>
      </w:r>
    </w:p>
    <w:p w14:paraId="1E15D23A" w14:textId="3E7E40E0" w:rsidR="002B471A" w:rsidRPr="002B471A" w:rsidRDefault="002B471A" w:rsidP="00D054F4">
      <w:pPr>
        <w:spacing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"Theory is always for someone and for some purpose."</w:t>
      </w:r>
      <w:r w:rsidR="00D054F4" w:rsidRPr="006D4BA1">
        <w:rPr>
          <w:rFonts w:asciiTheme="majorBidi" w:eastAsia="Times New Roman" w:hAnsiTheme="majorBidi" w:cstheme="majorBidi"/>
          <w:i/>
          <w:iCs/>
          <w:sz w:val="24"/>
          <w:szCs w:val="24"/>
        </w:rPr>
        <w:t xml:space="preserve">  </w:t>
      </w:r>
      <w:r w:rsidRPr="002B471A">
        <w:rPr>
          <w:rFonts w:asciiTheme="majorBidi" w:eastAsia="Times New Roman" w:hAnsiTheme="majorBidi" w:cstheme="majorBidi"/>
          <w:sz w:val="24"/>
          <w:szCs w:val="24"/>
        </w:rPr>
        <w:t xml:space="preserve"> Robert Cox (1981)</w:t>
      </w:r>
    </w:p>
    <w:p w14:paraId="462EC28D" w14:textId="660BC4F3"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lastRenderedPageBreak/>
        <w:t xml:space="preserve">Cox critiqued mainstream IR (Neorealism/Neoliberalism) as </w:t>
      </w:r>
      <w:r w:rsidRPr="002B471A">
        <w:rPr>
          <w:rFonts w:asciiTheme="majorBidi" w:eastAsia="Times New Roman" w:hAnsiTheme="majorBidi" w:cstheme="majorBidi"/>
          <w:b/>
          <w:bCs/>
          <w:sz w:val="24"/>
          <w:szCs w:val="24"/>
        </w:rPr>
        <w:t>problem-solving theory</w:t>
      </w:r>
      <w:r w:rsidR="00D054F4" w:rsidRPr="006D4BA1">
        <w:rPr>
          <w:rFonts w:asciiTheme="majorBidi" w:eastAsia="Times New Roman" w:hAnsiTheme="majorBidi" w:cstheme="majorBidi"/>
          <w:b/>
          <w:bCs/>
          <w:sz w:val="24"/>
          <w:szCs w:val="24"/>
        </w:rPr>
        <w:t xml:space="preserve"> </w:t>
      </w:r>
      <w:r w:rsidRPr="002B471A">
        <w:rPr>
          <w:rFonts w:asciiTheme="majorBidi" w:eastAsia="Times New Roman" w:hAnsiTheme="majorBidi" w:cstheme="majorBidi"/>
          <w:sz w:val="24"/>
          <w:szCs w:val="24"/>
        </w:rPr>
        <w:t xml:space="preserve">frameworks that accept prevailing power distribution and institutions as given, attempting only to smooth out operational frictions. In contrast, </w:t>
      </w:r>
      <w:r w:rsidRPr="002B471A">
        <w:rPr>
          <w:rFonts w:asciiTheme="majorBidi" w:eastAsia="Times New Roman" w:hAnsiTheme="majorBidi" w:cstheme="majorBidi"/>
          <w:b/>
          <w:bCs/>
          <w:sz w:val="24"/>
          <w:szCs w:val="24"/>
        </w:rPr>
        <w:t>Critical Theory</w:t>
      </w:r>
      <w:r w:rsidRPr="002B471A">
        <w:rPr>
          <w:rFonts w:asciiTheme="majorBidi" w:eastAsia="Times New Roman" w:hAnsiTheme="majorBidi" w:cstheme="majorBidi"/>
          <w:sz w:val="24"/>
          <w:szCs w:val="24"/>
        </w:rPr>
        <w:t xml:space="preserve"> is emancipatory: it uncovers how historical structures are constructed, identifies internal contradictions, and envisions transformative change.</w:t>
      </w:r>
    </w:p>
    <w:p w14:paraId="64B35045" w14:textId="77777777" w:rsidR="00B56422" w:rsidRPr="00B56422" w:rsidRDefault="00B56422" w:rsidP="00B56422">
      <w:pPr>
        <w:spacing w:before="100" w:beforeAutospacing="1" w:after="100" w:afterAutospacing="1"/>
        <w:outlineLvl w:val="2"/>
        <w:rPr>
          <w:rFonts w:asciiTheme="majorBidi" w:eastAsia="Times New Roman" w:hAnsiTheme="majorBidi" w:cstheme="majorBidi"/>
          <w:b/>
          <w:bCs/>
          <w:sz w:val="24"/>
          <w:szCs w:val="24"/>
        </w:rPr>
      </w:pPr>
      <w:r w:rsidRPr="00B56422">
        <w:rPr>
          <w:rFonts w:asciiTheme="majorBidi" w:eastAsia="Times New Roman" w:hAnsiTheme="majorBidi" w:cstheme="majorBidi"/>
          <w:b/>
          <w:bCs/>
          <w:sz w:val="24"/>
          <w:szCs w:val="24"/>
        </w:rPr>
        <w:t>Critical Theory Framework</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2565"/>
        <w:gridCol w:w="2504"/>
        <w:gridCol w:w="4279"/>
      </w:tblGrid>
      <w:tr w:rsidR="00B56422" w:rsidRPr="006D4BA1" w14:paraId="4C5A53A2" w14:textId="77777777" w:rsidTr="00B56422">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1B53F0"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Structural Layer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6FF51C"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Theoretical Category</w:t>
            </w:r>
          </w:p>
        </w:tc>
        <w:tc>
          <w:tcPr>
            <w:tcW w:w="423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1ADB43"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Core Scope &amp; Characteristics</w:t>
            </w:r>
          </w:p>
        </w:tc>
      </w:tr>
      <w:tr w:rsidR="00B56422" w:rsidRPr="006D4BA1" w14:paraId="40C1AAE8" w14:textId="77777777" w:rsidTr="00B564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4753D4"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Foundational Paradigm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67CE06"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Critical Theory</w:t>
            </w:r>
          </w:p>
        </w:tc>
        <w:tc>
          <w:tcPr>
            <w:tcW w:w="423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578623"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Questioning Hegemonic Structures</w:t>
            </w:r>
          </w:p>
        </w:tc>
      </w:tr>
      <w:tr w:rsidR="00B56422" w:rsidRPr="006D4BA1" w14:paraId="42E73855" w14:textId="77777777" w:rsidTr="00B564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C656FA"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Divergent Path 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03A6B6"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Problem-Solving Theory</w:t>
            </w:r>
          </w:p>
        </w:tc>
        <w:tc>
          <w:tcPr>
            <w:tcW w:w="423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1F718E"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Takes status quo as given</w:t>
            </w:r>
          </w:p>
          <w:p w14:paraId="45AE9DFD"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Preserves existing structures</w:t>
            </w:r>
          </w:p>
          <w:p w14:paraId="4983086E"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Focuses on state compliance</w:t>
            </w:r>
          </w:p>
        </w:tc>
      </w:tr>
      <w:tr w:rsidR="00B56422" w:rsidRPr="006D4BA1" w14:paraId="7A65132E" w14:textId="77777777" w:rsidTr="00B564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68DC96" w14:textId="77777777" w:rsidR="00B56422" w:rsidRPr="006D4BA1" w:rsidRDefault="00B56422"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Divergent Path B</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E339D0"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Emancipatory Praxis</w:t>
            </w:r>
          </w:p>
        </w:tc>
        <w:tc>
          <w:tcPr>
            <w:tcW w:w="423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3DD420" w14:textId="0964DF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Exposes power/knowledge links</w:t>
            </w:r>
          </w:p>
          <w:p w14:paraId="07FFA3A0"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Promotes structural transformation</w:t>
            </w:r>
          </w:p>
          <w:p w14:paraId="070232D7" w14:textId="77777777" w:rsidR="00B56422" w:rsidRPr="006D4BA1" w:rsidRDefault="00B56422" w:rsidP="00B56422">
            <w:pPr>
              <w:pStyle w:val="NoSpacing"/>
              <w:rPr>
                <w:rFonts w:asciiTheme="majorBidi" w:hAnsiTheme="majorBidi" w:cstheme="majorBidi"/>
                <w:sz w:val="24"/>
                <w:szCs w:val="24"/>
              </w:rPr>
            </w:pPr>
            <w:r w:rsidRPr="006D4BA1">
              <w:rPr>
                <w:rFonts w:asciiTheme="majorBidi" w:hAnsiTheme="majorBidi" w:cstheme="majorBidi"/>
                <w:sz w:val="24"/>
                <w:szCs w:val="24"/>
              </w:rPr>
              <w:t>• Centers human agency &amp; equity</w:t>
            </w:r>
          </w:p>
        </w:tc>
      </w:tr>
    </w:tbl>
    <w:p w14:paraId="32C8DE6F" w14:textId="77777777" w:rsidR="009112BB" w:rsidRPr="006D4BA1" w:rsidRDefault="009112BB" w:rsidP="002B471A">
      <w:pPr>
        <w:spacing w:before="100" w:beforeAutospacing="1" w:after="100" w:afterAutospacing="1"/>
        <w:rPr>
          <w:rFonts w:asciiTheme="majorBidi" w:eastAsia="Times New Roman" w:hAnsiTheme="majorBidi" w:cstheme="majorBidi"/>
          <w:b/>
          <w:bCs/>
          <w:sz w:val="24"/>
          <w:szCs w:val="24"/>
        </w:rPr>
      </w:pPr>
    </w:p>
    <w:p w14:paraId="1CD78CFC" w14:textId="7BEF9F8D"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Scholarly Debates &amp; Methodological Approaches</w:t>
      </w:r>
    </w:p>
    <w:p w14:paraId="14485BA4" w14:textId="77777777" w:rsidR="002B471A" w:rsidRPr="002B471A" w:rsidRDefault="002B471A" w:rsidP="002B471A">
      <w:pPr>
        <w:numPr>
          <w:ilvl w:val="0"/>
          <w:numId w:val="19"/>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Debates:</w:t>
      </w:r>
      <w:r w:rsidRPr="002B471A">
        <w:rPr>
          <w:rFonts w:asciiTheme="majorBidi" w:eastAsia="Times New Roman" w:hAnsiTheme="majorBidi" w:cstheme="majorBidi"/>
          <w:sz w:val="24"/>
          <w:szCs w:val="24"/>
        </w:rPr>
        <w:t xml:space="preserve"> Debates rage over the possibility of universal communicative action (Habermasian discourse ethics) versus local, pluralistic understandings of emancipation that avoid imposing Western normative standards.</w:t>
      </w:r>
    </w:p>
    <w:p w14:paraId="36F06FFB" w14:textId="77777777" w:rsidR="002B471A" w:rsidRPr="002B471A" w:rsidRDefault="002B471A" w:rsidP="002B471A">
      <w:pPr>
        <w:numPr>
          <w:ilvl w:val="0"/>
          <w:numId w:val="19"/>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Methodology:</w:t>
      </w:r>
      <w:r w:rsidRPr="002B471A">
        <w:rPr>
          <w:rFonts w:asciiTheme="majorBidi" w:eastAsia="Times New Roman" w:hAnsiTheme="majorBidi" w:cstheme="majorBidi"/>
          <w:sz w:val="24"/>
          <w:szCs w:val="24"/>
        </w:rPr>
        <w:t xml:space="preserve"> Employs immanent critique, discourse analysis, ideological deconstruction, and historical sociology to trace the evolution of hegemony and world orders.</w:t>
      </w:r>
    </w:p>
    <w:p w14:paraId="4104BC03"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Gaps &amp; Future Research Directions</w:t>
      </w:r>
    </w:p>
    <w:p w14:paraId="6DAD9208" w14:textId="77777777" w:rsidR="002B471A" w:rsidRPr="002B471A" w:rsidRDefault="002B471A" w:rsidP="002B471A">
      <w:pPr>
        <w:numPr>
          <w:ilvl w:val="0"/>
          <w:numId w:val="20"/>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Research Gap:</w:t>
      </w:r>
      <w:r w:rsidRPr="002B471A">
        <w:rPr>
          <w:rFonts w:asciiTheme="majorBidi" w:eastAsia="Times New Roman" w:hAnsiTheme="majorBidi" w:cstheme="majorBidi"/>
          <w:sz w:val="24"/>
          <w:szCs w:val="24"/>
        </w:rPr>
        <w:t xml:space="preserve"> Difficulty translating high-level meta-theoretical critique into concrete, actionable policy alternatives.</w:t>
      </w:r>
    </w:p>
    <w:p w14:paraId="36C84008" w14:textId="77777777" w:rsidR="002B471A" w:rsidRPr="002B471A" w:rsidRDefault="002B471A" w:rsidP="002B471A">
      <w:pPr>
        <w:numPr>
          <w:ilvl w:val="0"/>
          <w:numId w:val="20"/>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Future Direction:</w:t>
      </w:r>
      <w:r w:rsidRPr="002B471A">
        <w:rPr>
          <w:rFonts w:asciiTheme="majorBidi" w:eastAsia="Times New Roman" w:hAnsiTheme="majorBidi" w:cstheme="majorBidi"/>
          <w:sz w:val="24"/>
          <w:szCs w:val="24"/>
        </w:rPr>
        <w:t xml:space="preserve"> Analyzing how hyper-digitalized communication environments alter Gramscian hegemony and manufacture political consent across borders.</w:t>
      </w:r>
    </w:p>
    <w:p w14:paraId="3B4D47F3" w14:textId="77777777" w:rsidR="002B471A" w:rsidRPr="002B471A" w:rsidRDefault="002B471A" w:rsidP="002B471A">
      <w:pPr>
        <w:spacing w:before="100" w:beforeAutospacing="1" w:after="100" w:afterAutospacing="1"/>
        <w:outlineLvl w:val="2"/>
        <w:rPr>
          <w:rFonts w:asciiTheme="majorBidi" w:eastAsia="Times New Roman" w:hAnsiTheme="majorBidi" w:cstheme="majorBidi"/>
          <w:b/>
          <w:bCs/>
          <w:sz w:val="32"/>
          <w:szCs w:val="32"/>
        </w:rPr>
      </w:pPr>
      <w:r w:rsidRPr="002B471A">
        <w:rPr>
          <w:rFonts w:asciiTheme="majorBidi" w:eastAsia="Times New Roman" w:hAnsiTheme="majorBidi" w:cstheme="majorBidi"/>
          <w:b/>
          <w:bCs/>
          <w:sz w:val="32"/>
          <w:szCs w:val="32"/>
        </w:rPr>
        <w:t>3. Feminist International Relations Theory</w:t>
      </w:r>
    </w:p>
    <w:p w14:paraId="1ECE1556"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 Premises &amp; Concepts</w:t>
      </w:r>
    </w:p>
    <w:p w14:paraId="631558D6"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lastRenderedPageBreak/>
        <w:t xml:space="preserve">Feminist IR demonstrates that global politics is fundamentally gendered. Scholars like J. Ann Tickner reformed Realism's six principles, showing that concepts like national interest, autonomy, and power reflect deeply masculinized assumptions. Cynthia Enloe introduced the question, </w:t>
      </w:r>
      <w:r w:rsidRPr="002B471A">
        <w:rPr>
          <w:rFonts w:asciiTheme="majorBidi" w:eastAsia="Times New Roman" w:hAnsiTheme="majorBidi" w:cstheme="majorBidi"/>
          <w:i/>
          <w:iCs/>
          <w:sz w:val="24"/>
          <w:szCs w:val="24"/>
        </w:rPr>
        <w:t>"Where are the women?"</w:t>
      </w:r>
      <w:r w:rsidRPr="002B471A">
        <w:rPr>
          <w:rFonts w:asciiTheme="majorBidi" w:eastAsia="Times New Roman" w:hAnsiTheme="majorBidi" w:cstheme="majorBidi"/>
          <w:sz w:val="24"/>
          <w:szCs w:val="24"/>
        </w:rPr>
        <w:t>, exposing how international systems rely on unacknowledged, gendered labor (e.g., military wives, diplomatic hostesses, base-town sex workers, global care workers).</w:t>
      </w:r>
    </w:p>
    <w:p w14:paraId="44FDE65B"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Key focus areas include:</w:t>
      </w:r>
    </w:p>
    <w:p w14:paraId="5B7AF804" w14:textId="77777777" w:rsidR="002B471A" w:rsidRPr="002B471A" w:rsidRDefault="002B471A" w:rsidP="002B471A">
      <w:pPr>
        <w:numPr>
          <w:ilvl w:val="0"/>
          <w:numId w:val="21"/>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Gender and Conflict:</w:t>
      </w:r>
      <w:r w:rsidRPr="002B471A">
        <w:rPr>
          <w:rFonts w:asciiTheme="majorBidi" w:eastAsia="Times New Roman" w:hAnsiTheme="majorBidi" w:cstheme="majorBidi"/>
          <w:sz w:val="24"/>
          <w:szCs w:val="24"/>
        </w:rPr>
        <w:t xml:space="preserve"> Exposing sexual violence as an organized tactic of war, not an accidental byproduct.</w:t>
      </w:r>
    </w:p>
    <w:p w14:paraId="17898BD2" w14:textId="77777777" w:rsidR="002B471A" w:rsidRPr="002B471A" w:rsidRDefault="002B471A" w:rsidP="002B471A">
      <w:pPr>
        <w:numPr>
          <w:ilvl w:val="0"/>
          <w:numId w:val="21"/>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Rethinking Security:</w:t>
      </w:r>
      <w:r w:rsidRPr="002B471A">
        <w:rPr>
          <w:rFonts w:asciiTheme="majorBidi" w:eastAsia="Times New Roman" w:hAnsiTheme="majorBidi" w:cstheme="majorBidi"/>
          <w:sz w:val="24"/>
          <w:szCs w:val="24"/>
        </w:rPr>
        <w:t xml:space="preserve"> Shifting the unit of analysis from national state borders to bodily safety and social reproduction.</w:t>
      </w:r>
    </w:p>
    <w:p w14:paraId="12C5AD04" w14:textId="77777777" w:rsidR="002B471A" w:rsidRPr="002B471A" w:rsidRDefault="002B471A" w:rsidP="002B471A">
      <w:pPr>
        <w:numPr>
          <w:ilvl w:val="0"/>
          <w:numId w:val="21"/>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Critique of Realism:</w:t>
      </w:r>
      <w:r w:rsidRPr="002B471A">
        <w:rPr>
          <w:rFonts w:asciiTheme="majorBidi" w:eastAsia="Times New Roman" w:hAnsiTheme="majorBidi" w:cstheme="majorBidi"/>
          <w:sz w:val="24"/>
          <w:szCs w:val="24"/>
        </w:rPr>
        <w:t xml:space="preserve"> Challenging the myth of the state as a neutral protector, highlighting how state institutions can perpetuate systemic gender-based violence.</w:t>
      </w:r>
    </w:p>
    <w:p w14:paraId="448B2EFF"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Scholarly Debates &amp; Methodological Approaches</w:t>
      </w:r>
    </w:p>
    <w:p w14:paraId="2A96BD7C" w14:textId="77777777" w:rsidR="002B471A" w:rsidRPr="002B471A" w:rsidRDefault="002B471A" w:rsidP="002B471A">
      <w:pPr>
        <w:numPr>
          <w:ilvl w:val="0"/>
          <w:numId w:val="22"/>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Debates:</w:t>
      </w:r>
      <w:r w:rsidRPr="002B471A">
        <w:rPr>
          <w:rFonts w:asciiTheme="majorBidi" w:eastAsia="Times New Roman" w:hAnsiTheme="majorBidi" w:cstheme="majorBidi"/>
          <w:sz w:val="24"/>
          <w:szCs w:val="24"/>
        </w:rPr>
        <w:t xml:space="preserve"> Key tension exists between Western liberal feminism (focused on women's representation in existing institutions) and radical/postcolonial feminisms (which argue that mainstream IR institutions are inherently colonial and patriarchal).</w:t>
      </w:r>
    </w:p>
    <w:p w14:paraId="73F01782" w14:textId="77777777" w:rsidR="002B471A" w:rsidRPr="002B471A" w:rsidRDefault="002B471A" w:rsidP="002B471A">
      <w:pPr>
        <w:numPr>
          <w:ilvl w:val="0"/>
          <w:numId w:val="22"/>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Methodology:</w:t>
      </w:r>
      <w:r w:rsidRPr="002B471A">
        <w:rPr>
          <w:rFonts w:asciiTheme="majorBidi" w:eastAsia="Times New Roman" w:hAnsiTheme="majorBidi" w:cstheme="majorBidi"/>
          <w:sz w:val="24"/>
          <w:szCs w:val="24"/>
        </w:rPr>
        <w:t xml:space="preserve"> Uses feminist epistemology, narrative analysis, autoethnography, interview methods, and intersectional frameworks.</w:t>
      </w:r>
    </w:p>
    <w:p w14:paraId="5CC2D1C8"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Gaps &amp; Future Research Directions</w:t>
      </w:r>
    </w:p>
    <w:p w14:paraId="38F6D3BA" w14:textId="77777777" w:rsidR="002B471A" w:rsidRPr="002B471A" w:rsidRDefault="002B471A" w:rsidP="002B471A">
      <w:pPr>
        <w:numPr>
          <w:ilvl w:val="0"/>
          <w:numId w:val="23"/>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Research Gap:</w:t>
      </w:r>
      <w:r w:rsidRPr="002B471A">
        <w:rPr>
          <w:rFonts w:asciiTheme="majorBidi" w:eastAsia="Times New Roman" w:hAnsiTheme="majorBidi" w:cstheme="majorBidi"/>
          <w:sz w:val="24"/>
          <w:szCs w:val="24"/>
        </w:rPr>
        <w:t xml:space="preserve"> Under-researched intersections between gender, military technology, and automated systems.</w:t>
      </w:r>
    </w:p>
    <w:p w14:paraId="702559E3" w14:textId="77777777" w:rsidR="002B471A" w:rsidRPr="002B471A" w:rsidRDefault="002B471A" w:rsidP="002B471A">
      <w:pPr>
        <w:numPr>
          <w:ilvl w:val="0"/>
          <w:numId w:val="23"/>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Future Direction:</w:t>
      </w:r>
      <w:r w:rsidRPr="002B471A">
        <w:rPr>
          <w:rFonts w:asciiTheme="majorBidi" w:eastAsia="Times New Roman" w:hAnsiTheme="majorBidi" w:cstheme="majorBidi"/>
          <w:sz w:val="24"/>
          <w:szCs w:val="24"/>
        </w:rPr>
        <w:t xml:space="preserve"> Investigating the gendered impact of AI-driven warfare, lethal autonomous weapons systems (LAWS), and global surveillance infrastructure.</w:t>
      </w:r>
    </w:p>
    <w:p w14:paraId="63F65911" w14:textId="77777777" w:rsidR="002B471A" w:rsidRPr="002B471A" w:rsidRDefault="002B471A" w:rsidP="002B471A">
      <w:pPr>
        <w:spacing w:before="100" w:beforeAutospacing="1" w:after="100" w:afterAutospacing="1"/>
        <w:outlineLvl w:val="2"/>
        <w:rPr>
          <w:rFonts w:asciiTheme="majorBidi" w:eastAsia="Times New Roman" w:hAnsiTheme="majorBidi" w:cstheme="majorBidi"/>
          <w:b/>
          <w:bCs/>
          <w:sz w:val="32"/>
          <w:szCs w:val="32"/>
        </w:rPr>
      </w:pPr>
      <w:r w:rsidRPr="002B471A">
        <w:rPr>
          <w:rFonts w:asciiTheme="majorBidi" w:eastAsia="Times New Roman" w:hAnsiTheme="majorBidi" w:cstheme="majorBidi"/>
          <w:b/>
          <w:bCs/>
          <w:sz w:val="32"/>
          <w:szCs w:val="32"/>
        </w:rPr>
        <w:t>4. Postcolonial Theory and Decolonizing IR</w:t>
      </w:r>
    </w:p>
    <w:p w14:paraId="7CC3C7E6"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 Premises &amp; Concepts</w:t>
      </w:r>
    </w:p>
    <w:p w14:paraId="7DD8C3E1"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 xml:space="preserve">Postcolonial theory argues that International Relations as a discipline was born alongside European imperial expansion, embedding colonial biases into its foundational concepts (e.g., sovereignty, statehood, order). Edward Said’s concept of </w:t>
      </w:r>
      <w:r w:rsidRPr="002B471A">
        <w:rPr>
          <w:rFonts w:asciiTheme="majorBidi" w:eastAsia="Times New Roman" w:hAnsiTheme="majorBidi" w:cstheme="majorBidi"/>
          <w:i/>
          <w:iCs/>
          <w:sz w:val="24"/>
          <w:szCs w:val="24"/>
        </w:rPr>
        <w:t>Orientalism</w:t>
      </w:r>
      <w:r w:rsidRPr="002B471A">
        <w:rPr>
          <w:rFonts w:asciiTheme="majorBidi" w:eastAsia="Times New Roman" w:hAnsiTheme="majorBidi" w:cstheme="majorBidi"/>
          <w:sz w:val="24"/>
          <w:szCs w:val="24"/>
        </w:rPr>
        <w:t xml:space="preserve"> demonstrated how the West constructs the non-Western world as rational/irrational, developed/backward binaries to justify geopolitical dominance.</w:t>
      </w:r>
    </w:p>
    <w:p w14:paraId="7FDF7C5B"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 xml:space="preserve">Gayatri Spivak’s exploration of the </w:t>
      </w:r>
      <w:r w:rsidRPr="002B471A">
        <w:rPr>
          <w:rFonts w:asciiTheme="majorBidi" w:eastAsia="Times New Roman" w:hAnsiTheme="majorBidi" w:cstheme="majorBidi"/>
          <w:i/>
          <w:iCs/>
          <w:sz w:val="24"/>
          <w:szCs w:val="24"/>
        </w:rPr>
        <w:t>subaltern</w:t>
      </w:r>
      <w:r w:rsidRPr="002B471A">
        <w:rPr>
          <w:rFonts w:asciiTheme="majorBidi" w:eastAsia="Times New Roman" w:hAnsiTheme="majorBidi" w:cstheme="majorBidi"/>
          <w:sz w:val="24"/>
          <w:szCs w:val="24"/>
        </w:rPr>
        <w:t xml:space="preserve"> asks whether marginalized groups can speak within dominant Western discursive frameworks. Decolonizing IR seeks to disassemble the "coloniality of power" (Quijano)—the enduring hierarchies of race, knowledge, and culture that survive formal political decolonization.</w:t>
      </w:r>
    </w:p>
    <w:p w14:paraId="177A01B9" w14:textId="77777777" w:rsidR="00D41EEB" w:rsidRPr="00D41EEB" w:rsidRDefault="00D41EEB" w:rsidP="00D41EEB">
      <w:pPr>
        <w:spacing w:before="100" w:beforeAutospacing="1" w:after="100" w:afterAutospacing="1"/>
        <w:outlineLvl w:val="2"/>
        <w:rPr>
          <w:rFonts w:asciiTheme="majorBidi" w:eastAsia="Times New Roman" w:hAnsiTheme="majorBidi" w:cstheme="majorBidi"/>
          <w:b/>
          <w:bCs/>
          <w:sz w:val="24"/>
          <w:szCs w:val="24"/>
        </w:rPr>
      </w:pPr>
      <w:r w:rsidRPr="00D41EEB">
        <w:rPr>
          <w:rFonts w:asciiTheme="majorBidi" w:eastAsia="Times New Roman" w:hAnsiTheme="majorBidi" w:cstheme="majorBidi"/>
          <w:b/>
          <w:bCs/>
          <w:sz w:val="24"/>
          <w:szCs w:val="24"/>
        </w:rPr>
        <w:lastRenderedPageBreak/>
        <w:t>Decolonizing International Relations Framework</w:t>
      </w:r>
    </w:p>
    <w:tbl>
      <w:tblPr>
        <w:tblW w:w="10774" w:type="dxa"/>
        <w:tblCellSpacing w:w="15" w:type="dxa"/>
        <w:tblInd w:w="-717" w:type="dxa"/>
        <w:tblCellMar>
          <w:top w:w="15" w:type="dxa"/>
          <w:left w:w="15" w:type="dxa"/>
          <w:bottom w:w="15" w:type="dxa"/>
          <w:right w:w="15" w:type="dxa"/>
        </w:tblCellMar>
        <w:tblLook w:val="04A0" w:firstRow="1" w:lastRow="0" w:firstColumn="1" w:lastColumn="0" w:noHBand="0" w:noVBand="1"/>
      </w:tblPr>
      <w:tblGrid>
        <w:gridCol w:w="2799"/>
        <w:gridCol w:w="2446"/>
        <w:gridCol w:w="5529"/>
      </w:tblGrid>
      <w:tr w:rsidR="00D41EEB" w:rsidRPr="006D4BA1" w14:paraId="15FB42DC" w14:textId="77777777" w:rsidTr="00B56422">
        <w:trPr>
          <w:tblHeader/>
          <w:tblCellSpacing w:w="15" w:type="dxa"/>
        </w:trPr>
        <w:tc>
          <w:tcPr>
            <w:tcW w:w="275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A0DAFE"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Structural Layer</w:t>
            </w:r>
          </w:p>
        </w:tc>
        <w:tc>
          <w:tcPr>
            <w:tcW w:w="24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FE125F"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Conceptual Category</w:t>
            </w:r>
          </w:p>
        </w:tc>
        <w:tc>
          <w:tcPr>
            <w:tcW w:w="54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13A706"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Core Scope &amp; Mechanisms</w:t>
            </w:r>
          </w:p>
        </w:tc>
      </w:tr>
      <w:tr w:rsidR="00D41EEB" w:rsidRPr="006D4BA1" w14:paraId="3502C300" w14:textId="77777777" w:rsidTr="00B56422">
        <w:trPr>
          <w:tblCellSpacing w:w="15" w:type="dxa"/>
        </w:trPr>
        <w:tc>
          <w:tcPr>
            <w:tcW w:w="275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40B5CE"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Source / Apex</w:t>
            </w:r>
          </w:p>
        </w:tc>
        <w:tc>
          <w:tcPr>
            <w:tcW w:w="24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8B8F67"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Western Hegemony</w:t>
            </w:r>
          </w:p>
        </w:tc>
        <w:tc>
          <w:tcPr>
            <w:tcW w:w="54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094E04"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 xml:space="preserve">Knowledge Production </w:t>
            </w:r>
            <w:r w:rsidRPr="006D4BA1">
              <w:rPr>
                <w:rFonts w:asciiTheme="majorBidi" w:hAnsiTheme="majorBidi" w:cstheme="majorBidi"/>
                <w:i/>
                <w:iCs/>
                <w:sz w:val="24"/>
                <w:szCs w:val="24"/>
              </w:rPr>
              <w:t>(Dominance over academic and analytical frameworks)</w:t>
            </w:r>
          </w:p>
        </w:tc>
      </w:tr>
      <w:tr w:rsidR="00D41EEB" w:rsidRPr="006D4BA1" w14:paraId="30B126EF" w14:textId="77777777" w:rsidTr="00B56422">
        <w:trPr>
          <w:tblCellSpacing w:w="15" w:type="dxa"/>
        </w:trPr>
        <w:tc>
          <w:tcPr>
            <w:tcW w:w="275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FF9EC8"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Intermediate Mechanisms</w:t>
            </w:r>
          </w:p>
        </w:tc>
        <w:tc>
          <w:tcPr>
            <w:tcW w:w="24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7B38F1"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Orientalism</w:t>
            </w:r>
          </w:p>
        </w:tc>
        <w:tc>
          <w:tcPr>
            <w:tcW w:w="54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447108"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 xml:space="preserve">Binary Stereotypes </w:t>
            </w:r>
            <w:r w:rsidRPr="006D4BA1">
              <w:rPr>
                <w:rFonts w:asciiTheme="majorBidi" w:hAnsiTheme="majorBidi" w:cstheme="majorBidi"/>
                <w:i/>
                <w:iCs/>
                <w:sz w:val="24"/>
                <w:szCs w:val="24"/>
              </w:rPr>
              <w:t>(Constructing the non-Western world as rational/irrational binaries)</w:t>
            </w:r>
          </w:p>
        </w:tc>
      </w:tr>
      <w:tr w:rsidR="00D41EEB" w:rsidRPr="006D4BA1" w14:paraId="303A3D93" w14:textId="77777777" w:rsidTr="00B56422">
        <w:trPr>
          <w:tblCellSpacing w:w="15" w:type="dxa"/>
        </w:trPr>
        <w:tc>
          <w:tcPr>
            <w:tcW w:w="275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2F6F4D"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Intermediate Mechanisms</w:t>
            </w:r>
          </w:p>
        </w:tc>
        <w:tc>
          <w:tcPr>
            <w:tcW w:w="24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CD9399"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Epistemic Exclusion</w:t>
            </w:r>
          </w:p>
        </w:tc>
        <w:tc>
          <w:tcPr>
            <w:tcW w:w="54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A41805"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 xml:space="preserve">Silencing Subaltern Voices </w:t>
            </w:r>
            <w:r w:rsidRPr="006D4BA1">
              <w:rPr>
                <w:rFonts w:asciiTheme="majorBidi" w:hAnsiTheme="majorBidi" w:cstheme="majorBidi"/>
                <w:i/>
                <w:iCs/>
                <w:sz w:val="24"/>
                <w:szCs w:val="24"/>
              </w:rPr>
              <w:t>(Marginalizing non-Western perspectives and lived experiences)</w:t>
            </w:r>
          </w:p>
        </w:tc>
      </w:tr>
      <w:tr w:rsidR="00D41EEB" w:rsidRPr="006D4BA1" w14:paraId="4F6A19F6" w14:textId="77777777" w:rsidTr="00B56422">
        <w:trPr>
          <w:tblCellSpacing w:w="15" w:type="dxa"/>
        </w:trPr>
        <w:tc>
          <w:tcPr>
            <w:tcW w:w="275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590E5D" w14:textId="77777777" w:rsidR="00D41EEB" w:rsidRPr="006D4BA1" w:rsidRDefault="00D41EEB" w:rsidP="00B56422">
            <w:pPr>
              <w:pStyle w:val="NoSpacing"/>
              <w:rPr>
                <w:rFonts w:asciiTheme="majorBidi" w:hAnsiTheme="majorBidi" w:cstheme="majorBidi"/>
                <w:b/>
                <w:bCs/>
                <w:sz w:val="24"/>
                <w:szCs w:val="24"/>
              </w:rPr>
            </w:pPr>
            <w:r w:rsidRPr="006D4BA1">
              <w:rPr>
                <w:rFonts w:asciiTheme="majorBidi" w:hAnsiTheme="majorBidi" w:cstheme="majorBidi"/>
                <w:b/>
                <w:bCs/>
                <w:sz w:val="24"/>
                <w:szCs w:val="24"/>
              </w:rPr>
              <w:t>Outcome / Destination</w:t>
            </w:r>
          </w:p>
        </w:tc>
        <w:tc>
          <w:tcPr>
            <w:tcW w:w="24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88D716"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Decolonizing IR</w:t>
            </w:r>
          </w:p>
        </w:tc>
        <w:tc>
          <w:tcPr>
            <w:tcW w:w="54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B01D8B" w14:textId="77777777" w:rsidR="00D41EEB" w:rsidRPr="006D4BA1" w:rsidRDefault="00D41EEB" w:rsidP="00B56422">
            <w:pPr>
              <w:pStyle w:val="NoSpacing"/>
              <w:rPr>
                <w:rFonts w:asciiTheme="majorBidi" w:hAnsiTheme="majorBidi" w:cstheme="majorBidi"/>
                <w:sz w:val="24"/>
                <w:szCs w:val="24"/>
              </w:rPr>
            </w:pPr>
            <w:r w:rsidRPr="006D4BA1">
              <w:rPr>
                <w:rFonts w:asciiTheme="majorBidi" w:hAnsiTheme="majorBidi" w:cstheme="majorBidi"/>
                <w:sz w:val="24"/>
                <w:szCs w:val="24"/>
              </w:rPr>
              <w:t xml:space="preserve">Re-centering Pluriversal Knowledge </w:t>
            </w:r>
            <w:r w:rsidRPr="006D4BA1">
              <w:rPr>
                <w:rFonts w:asciiTheme="majorBidi" w:hAnsiTheme="majorBidi" w:cstheme="majorBidi"/>
                <w:i/>
                <w:iCs/>
                <w:sz w:val="24"/>
                <w:szCs w:val="24"/>
              </w:rPr>
              <w:t>(Constructing pluralistic, non-Eurocentric understandings of global politics)</w:t>
            </w:r>
          </w:p>
        </w:tc>
      </w:tr>
    </w:tbl>
    <w:p w14:paraId="0F32AC71"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Scholarly Debates &amp; Methodological Approaches</w:t>
      </w:r>
    </w:p>
    <w:p w14:paraId="260E2A24" w14:textId="77777777" w:rsidR="002B471A" w:rsidRPr="002B471A" w:rsidRDefault="002B471A" w:rsidP="002B471A">
      <w:pPr>
        <w:numPr>
          <w:ilvl w:val="0"/>
          <w:numId w:val="24"/>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Debates:</w:t>
      </w:r>
      <w:r w:rsidRPr="002B471A">
        <w:rPr>
          <w:rFonts w:asciiTheme="majorBidi" w:eastAsia="Times New Roman" w:hAnsiTheme="majorBidi" w:cstheme="majorBidi"/>
          <w:sz w:val="24"/>
          <w:szCs w:val="24"/>
        </w:rPr>
        <w:t xml:space="preserve"> Debates center on whether Western academic institutions and disciplinary tools can be decolonized from within, or if IR must be replaced entirely by a "pluriversal" global social science.</w:t>
      </w:r>
    </w:p>
    <w:p w14:paraId="08737EAC" w14:textId="3EF472DA" w:rsidR="002B471A" w:rsidRPr="002B471A" w:rsidRDefault="002B471A" w:rsidP="002B471A">
      <w:pPr>
        <w:numPr>
          <w:ilvl w:val="0"/>
          <w:numId w:val="24"/>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Methodology:</w:t>
      </w:r>
      <w:r w:rsidRPr="002B471A">
        <w:rPr>
          <w:rFonts w:asciiTheme="majorBidi" w:eastAsia="Times New Roman" w:hAnsiTheme="majorBidi" w:cstheme="majorBidi"/>
          <w:sz w:val="24"/>
          <w:szCs w:val="24"/>
        </w:rPr>
        <w:t xml:space="preserve"> Employs archival deconstruction, genealogical critique, </w:t>
      </w:r>
      <w:r w:rsidR="009112BB" w:rsidRPr="006D4BA1">
        <w:rPr>
          <w:rFonts w:asciiTheme="majorBidi" w:eastAsia="Times New Roman" w:hAnsiTheme="majorBidi" w:cstheme="majorBidi"/>
          <w:sz w:val="24"/>
          <w:szCs w:val="24"/>
        </w:rPr>
        <w:t>post structural</w:t>
      </w:r>
      <w:r w:rsidRPr="002B471A">
        <w:rPr>
          <w:rFonts w:asciiTheme="majorBidi" w:eastAsia="Times New Roman" w:hAnsiTheme="majorBidi" w:cstheme="majorBidi"/>
          <w:sz w:val="24"/>
          <w:szCs w:val="24"/>
        </w:rPr>
        <w:t xml:space="preserve"> text analysis, and subaltern histories.</w:t>
      </w:r>
    </w:p>
    <w:p w14:paraId="51CF4CEC"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Gaps &amp; Future Research Directions</w:t>
      </w:r>
    </w:p>
    <w:p w14:paraId="18C6DBAB" w14:textId="77777777" w:rsidR="002B471A" w:rsidRPr="002B471A" w:rsidRDefault="002B471A" w:rsidP="002B471A">
      <w:pPr>
        <w:numPr>
          <w:ilvl w:val="0"/>
          <w:numId w:val="25"/>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Research Gap:</w:t>
      </w:r>
      <w:r w:rsidRPr="002B471A">
        <w:rPr>
          <w:rFonts w:asciiTheme="majorBidi" w:eastAsia="Times New Roman" w:hAnsiTheme="majorBidi" w:cstheme="majorBidi"/>
          <w:sz w:val="24"/>
          <w:szCs w:val="24"/>
        </w:rPr>
        <w:t xml:space="preserve"> A disconnect between decolonial theoretical critique and practical institutional reform in international law, trade, and diplomacy.</w:t>
      </w:r>
    </w:p>
    <w:p w14:paraId="1FE5F21C" w14:textId="77777777" w:rsidR="002B471A" w:rsidRPr="002B471A" w:rsidRDefault="002B471A" w:rsidP="002B471A">
      <w:pPr>
        <w:numPr>
          <w:ilvl w:val="0"/>
          <w:numId w:val="25"/>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Future Direction:</w:t>
      </w:r>
      <w:r w:rsidRPr="002B471A">
        <w:rPr>
          <w:rFonts w:asciiTheme="majorBidi" w:eastAsia="Times New Roman" w:hAnsiTheme="majorBidi" w:cstheme="majorBidi"/>
          <w:sz w:val="24"/>
          <w:szCs w:val="24"/>
        </w:rPr>
        <w:t xml:space="preserve"> Examining the coloniality of climate mitigation frameworks and resource management across the Global South.</w:t>
      </w:r>
    </w:p>
    <w:p w14:paraId="5385DE7C" w14:textId="77777777" w:rsidR="002B471A" w:rsidRPr="002B471A" w:rsidRDefault="002B471A" w:rsidP="002B471A">
      <w:pPr>
        <w:spacing w:before="100" w:beforeAutospacing="1" w:after="100" w:afterAutospacing="1"/>
        <w:outlineLvl w:val="2"/>
        <w:rPr>
          <w:rFonts w:asciiTheme="majorBidi" w:eastAsia="Times New Roman" w:hAnsiTheme="majorBidi" w:cstheme="majorBidi"/>
          <w:b/>
          <w:bCs/>
          <w:sz w:val="32"/>
          <w:szCs w:val="32"/>
        </w:rPr>
      </w:pPr>
      <w:r w:rsidRPr="002B471A">
        <w:rPr>
          <w:rFonts w:asciiTheme="majorBidi" w:eastAsia="Times New Roman" w:hAnsiTheme="majorBidi" w:cstheme="majorBidi"/>
          <w:b/>
          <w:bCs/>
          <w:sz w:val="32"/>
          <w:szCs w:val="32"/>
        </w:rPr>
        <w:t>5. Green Theory and Ecological Politics</w:t>
      </w:r>
    </w:p>
    <w:p w14:paraId="51B50B5F"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 Premises &amp; Concepts</w:t>
      </w:r>
    </w:p>
    <w:p w14:paraId="29820A90"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 xml:space="preserve">Green IR challenges the anthropocentric bias of mainstream IR, which treats the environment merely as a background stage or resource pool for state competition. Green theory distinguishes between </w:t>
      </w:r>
      <w:r w:rsidRPr="002B471A">
        <w:rPr>
          <w:rFonts w:asciiTheme="majorBidi" w:eastAsia="Times New Roman" w:hAnsiTheme="majorBidi" w:cstheme="majorBidi"/>
          <w:i/>
          <w:iCs/>
          <w:sz w:val="24"/>
          <w:szCs w:val="24"/>
        </w:rPr>
        <w:t>environmentalism</w:t>
      </w:r>
      <w:r w:rsidRPr="002B471A">
        <w:rPr>
          <w:rFonts w:asciiTheme="majorBidi" w:eastAsia="Times New Roman" w:hAnsiTheme="majorBidi" w:cstheme="majorBidi"/>
          <w:sz w:val="24"/>
          <w:szCs w:val="24"/>
        </w:rPr>
        <w:t xml:space="preserve"> (seeking managerial fixes to environmental problems without changing political-economic structures) and </w:t>
      </w:r>
      <w:r w:rsidRPr="002B471A">
        <w:rPr>
          <w:rFonts w:asciiTheme="majorBidi" w:eastAsia="Times New Roman" w:hAnsiTheme="majorBidi" w:cstheme="majorBidi"/>
          <w:i/>
          <w:iCs/>
          <w:sz w:val="24"/>
          <w:szCs w:val="24"/>
        </w:rPr>
        <w:t>ecologism</w:t>
      </w:r>
      <w:r w:rsidRPr="002B471A">
        <w:rPr>
          <w:rFonts w:asciiTheme="majorBidi" w:eastAsia="Times New Roman" w:hAnsiTheme="majorBidi" w:cstheme="majorBidi"/>
          <w:sz w:val="24"/>
          <w:szCs w:val="24"/>
        </w:rPr>
        <w:t xml:space="preserve"> (demanding radical restructuring of political, social, and economic systems).</w:t>
      </w:r>
    </w:p>
    <w:p w14:paraId="7CDC01FD"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Key frameworks include:</w:t>
      </w:r>
    </w:p>
    <w:p w14:paraId="1F453249" w14:textId="77777777" w:rsidR="002B471A" w:rsidRPr="002B471A" w:rsidRDefault="002B471A" w:rsidP="002B471A">
      <w:pPr>
        <w:numPr>
          <w:ilvl w:val="0"/>
          <w:numId w:val="26"/>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lastRenderedPageBreak/>
        <w:t>Ecocentric Ethics:</w:t>
      </w:r>
      <w:r w:rsidRPr="002B471A">
        <w:rPr>
          <w:rFonts w:asciiTheme="majorBidi" w:eastAsia="Times New Roman" w:hAnsiTheme="majorBidi" w:cstheme="majorBidi"/>
          <w:sz w:val="24"/>
          <w:szCs w:val="24"/>
        </w:rPr>
        <w:t xml:space="preserve"> Extending moral consideration to non-human entities and ecosystems.</w:t>
      </w:r>
    </w:p>
    <w:p w14:paraId="3CA6D93C" w14:textId="77777777" w:rsidR="002B471A" w:rsidRPr="002B471A" w:rsidRDefault="002B471A" w:rsidP="002B471A">
      <w:pPr>
        <w:numPr>
          <w:ilvl w:val="0"/>
          <w:numId w:val="26"/>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Ecological Justice:</w:t>
      </w:r>
      <w:r w:rsidRPr="002B471A">
        <w:rPr>
          <w:rFonts w:asciiTheme="majorBidi" w:eastAsia="Times New Roman" w:hAnsiTheme="majorBidi" w:cstheme="majorBidi"/>
          <w:sz w:val="24"/>
          <w:szCs w:val="24"/>
        </w:rPr>
        <w:t xml:space="preserve"> Addressing how environmental degradation, climate change, and pollution disproportionately affect marginalized global populations.</w:t>
      </w:r>
    </w:p>
    <w:p w14:paraId="67E8ADE8" w14:textId="77777777" w:rsidR="002B471A" w:rsidRPr="002B471A" w:rsidRDefault="002B471A" w:rsidP="002B471A">
      <w:pPr>
        <w:numPr>
          <w:ilvl w:val="0"/>
          <w:numId w:val="26"/>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Climate Governance &amp; Anthropocene:</w:t>
      </w:r>
      <w:r w:rsidRPr="002B471A">
        <w:rPr>
          <w:rFonts w:asciiTheme="majorBidi" w:eastAsia="Times New Roman" w:hAnsiTheme="majorBidi" w:cstheme="majorBidi"/>
          <w:sz w:val="24"/>
          <w:szCs w:val="24"/>
        </w:rPr>
        <w:t xml:space="preserve"> Rethinking sovereignty in an era where ecological disasters cross national borders freely.</w:t>
      </w:r>
    </w:p>
    <w:p w14:paraId="646498B0"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Scholarly Debates &amp; Methodological Approaches</w:t>
      </w:r>
    </w:p>
    <w:p w14:paraId="02427800" w14:textId="77777777" w:rsidR="002B471A" w:rsidRPr="002B471A" w:rsidRDefault="002B471A" w:rsidP="002B471A">
      <w:pPr>
        <w:numPr>
          <w:ilvl w:val="0"/>
          <w:numId w:val="27"/>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Debates:</w:t>
      </w:r>
      <w:r w:rsidRPr="002B471A">
        <w:rPr>
          <w:rFonts w:asciiTheme="majorBidi" w:eastAsia="Times New Roman" w:hAnsiTheme="majorBidi" w:cstheme="majorBidi"/>
          <w:sz w:val="24"/>
          <w:szCs w:val="24"/>
        </w:rPr>
        <w:t xml:space="preserve"> Tensions persist between cosmopolitan ecological centralism (requiring global enforcement bodies) and localized, decentralized eco-communitarian governance.</w:t>
      </w:r>
    </w:p>
    <w:p w14:paraId="4B02463B" w14:textId="77777777" w:rsidR="002B471A" w:rsidRPr="002B471A" w:rsidRDefault="002B471A" w:rsidP="002B471A">
      <w:pPr>
        <w:numPr>
          <w:ilvl w:val="0"/>
          <w:numId w:val="27"/>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Methodology:</w:t>
      </w:r>
      <w:r w:rsidRPr="002B471A">
        <w:rPr>
          <w:rFonts w:asciiTheme="majorBidi" w:eastAsia="Times New Roman" w:hAnsiTheme="majorBidi" w:cstheme="majorBidi"/>
          <w:sz w:val="24"/>
          <w:szCs w:val="24"/>
        </w:rPr>
        <w:t xml:space="preserve"> Interdisciplinary methodologies combining planetary boundary modeling, normative political theory, comparative policy analysis, and ecological political economy.</w:t>
      </w:r>
    </w:p>
    <w:p w14:paraId="314D220C"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Gaps &amp; Future Research Directions</w:t>
      </w:r>
    </w:p>
    <w:p w14:paraId="77200451" w14:textId="77777777" w:rsidR="002B471A" w:rsidRPr="002B471A" w:rsidRDefault="002B471A" w:rsidP="002B471A">
      <w:pPr>
        <w:numPr>
          <w:ilvl w:val="0"/>
          <w:numId w:val="28"/>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Research Gap:</w:t>
      </w:r>
      <w:r w:rsidRPr="002B471A">
        <w:rPr>
          <w:rFonts w:asciiTheme="majorBidi" w:eastAsia="Times New Roman" w:hAnsiTheme="majorBidi" w:cstheme="majorBidi"/>
          <w:sz w:val="24"/>
          <w:szCs w:val="24"/>
        </w:rPr>
        <w:t xml:space="preserve"> Insufficient integration between Green IR and critical military analysis regarding the ecological footprint of global armed forces.</w:t>
      </w:r>
    </w:p>
    <w:p w14:paraId="22528F17" w14:textId="77777777" w:rsidR="002B471A" w:rsidRPr="002B471A" w:rsidRDefault="002B471A" w:rsidP="002B471A">
      <w:pPr>
        <w:numPr>
          <w:ilvl w:val="0"/>
          <w:numId w:val="28"/>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Future Direction:</w:t>
      </w:r>
      <w:r w:rsidRPr="002B471A">
        <w:rPr>
          <w:rFonts w:asciiTheme="majorBidi" w:eastAsia="Times New Roman" w:hAnsiTheme="majorBidi" w:cstheme="majorBidi"/>
          <w:sz w:val="24"/>
          <w:szCs w:val="24"/>
        </w:rPr>
        <w:t xml:space="preserve"> Developing non-state-centric governance structures capable of managing planetary boundaries while ensuring global climate equity.</w:t>
      </w:r>
    </w:p>
    <w:p w14:paraId="54481BFA" w14:textId="77777777" w:rsidR="002B471A" w:rsidRPr="002B471A" w:rsidRDefault="002B471A" w:rsidP="002B471A">
      <w:pPr>
        <w:spacing w:before="100" w:beforeAutospacing="1" w:after="100" w:afterAutospacing="1"/>
        <w:outlineLvl w:val="2"/>
        <w:rPr>
          <w:rFonts w:asciiTheme="majorBidi" w:eastAsia="Times New Roman" w:hAnsiTheme="majorBidi" w:cstheme="majorBidi"/>
          <w:b/>
          <w:bCs/>
          <w:sz w:val="32"/>
          <w:szCs w:val="32"/>
        </w:rPr>
      </w:pPr>
      <w:r w:rsidRPr="002B471A">
        <w:rPr>
          <w:rFonts w:asciiTheme="majorBidi" w:eastAsia="Times New Roman" w:hAnsiTheme="majorBidi" w:cstheme="majorBidi"/>
          <w:b/>
          <w:bCs/>
          <w:sz w:val="32"/>
          <w:szCs w:val="32"/>
        </w:rPr>
        <w:t>6. Human Security Theory</w:t>
      </w:r>
    </w:p>
    <w:p w14:paraId="6D662F9E"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Core Premises &amp; Concepts</w:t>
      </w:r>
    </w:p>
    <w:p w14:paraId="043DAC86"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Formally introduced in the 1994 UNDP Human Development Report, Human Security shifts the referent object of security away from the sovereign state to individual human beings. It broadens traditional military-centric security into two core pillars:</w:t>
      </w:r>
    </w:p>
    <w:p w14:paraId="4D10485A" w14:textId="77777777" w:rsidR="002B471A" w:rsidRPr="002B471A" w:rsidRDefault="002B471A" w:rsidP="002B471A">
      <w:pPr>
        <w:numPr>
          <w:ilvl w:val="0"/>
          <w:numId w:val="29"/>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Freedom from Fear:</w:t>
      </w:r>
      <w:r w:rsidRPr="002B471A">
        <w:rPr>
          <w:rFonts w:asciiTheme="majorBidi" w:eastAsia="Times New Roman" w:hAnsiTheme="majorBidi" w:cstheme="majorBidi"/>
          <w:sz w:val="24"/>
          <w:szCs w:val="24"/>
        </w:rPr>
        <w:t xml:space="preserve"> Protection from direct violence, war, and state repression.</w:t>
      </w:r>
    </w:p>
    <w:p w14:paraId="04B47CF7" w14:textId="77777777" w:rsidR="002B471A" w:rsidRPr="002B471A" w:rsidRDefault="002B471A" w:rsidP="002B471A">
      <w:pPr>
        <w:numPr>
          <w:ilvl w:val="0"/>
          <w:numId w:val="29"/>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Freedom from Want:</w:t>
      </w:r>
      <w:r w:rsidRPr="002B471A">
        <w:rPr>
          <w:rFonts w:asciiTheme="majorBidi" w:eastAsia="Times New Roman" w:hAnsiTheme="majorBidi" w:cstheme="majorBidi"/>
          <w:sz w:val="24"/>
          <w:szCs w:val="24"/>
        </w:rPr>
        <w:t xml:space="preserve"> Protection from poverty, disease, environmental collapse, and economic displacement.</w:t>
      </w:r>
    </w:p>
    <w:p w14:paraId="7899A472" w14:textId="77777777" w:rsidR="00D41EEB" w:rsidRPr="006D4BA1" w:rsidRDefault="00D41EEB" w:rsidP="00D41EEB">
      <w:pPr>
        <w:pStyle w:val="Heading3"/>
        <w:numPr>
          <w:ilvl w:val="0"/>
          <w:numId w:val="29"/>
        </w:numPr>
        <w:rPr>
          <w:rFonts w:asciiTheme="majorBidi" w:hAnsiTheme="majorBidi"/>
          <w:b/>
          <w:bCs/>
        </w:rPr>
      </w:pPr>
      <w:r w:rsidRPr="006D4BA1">
        <w:rPr>
          <w:rFonts w:asciiTheme="majorBidi" w:hAnsiTheme="majorBidi"/>
          <w:b/>
          <w:bCs/>
        </w:rPr>
        <w:t>Human Security Framework</w:t>
      </w:r>
    </w:p>
    <w:tbl>
      <w:tblPr>
        <w:tblW w:w="10916" w:type="dxa"/>
        <w:tblCellSpacing w:w="15" w:type="dxa"/>
        <w:tblInd w:w="-1001" w:type="dxa"/>
        <w:tblCellMar>
          <w:top w:w="15" w:type="dxa"/>
          <w:left w:w="15" w:type="dxa"/>
          <w:bottom w:w="15" w:type="dxa"/>
          <w:right w:w="15" w:type="dxa"/>
        </w:tblCellMar>
        <w:tblLook w:val="04A0" w:firstRow="1" w:lastRow="0" w:firstColumn="1" w:lastColumn="0" w:noHBand="0" w:noVBand="1"/>
      </w:tblPr>
      <w:tblGrid>
        <w:gridCol w:w="2127"/>
        <w:gridCol w:w="2552"/>
        <w:gridCol w:w="6237"/>
      </w:tblGrid>
      <w:tr w:rsidR="00D41EEB" w:rsidRPr="006D4BA1" w14:paraId="0BDC9157" w14:textId="77777777" w:rsidTr="00D41EEB">
        <w:trPr>
          <w:tblHeade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46ADF7" w14:textId="77777777" w:rsidR="00D41EEB" w:rsidRPr="006D4BA1" w:rsidRDefault="00D41EEB" w:rsidP="00D41EEB">
            <w:pPr>
              <w:pStyle w:val="NoSpacing"/>
              <w:rPr>
                <w:rFonts w:asciiTheme="majorBidi" w:hAnsiTheme="majorBidi" w:cstheme="majorBidi"/>
                <w:sz w:val="24"/>
                <w:szCs w:val="24"/>
              </w:rPr>
            </w:pPr>
            <w:r w:rsidRPr="006D4BA1">
              <w:rPr>
                <w:rStyle w:val="Strong"/>
                <w:rFonts w:asciiTheme="majorBidi" w:hAnsiTheme="majorBidi" w:cstheme="majorBidi"/>
                <w:sz w:val="24"/>
                <w:szCs w:val="24"/>
              </w:rPr>
              <w:t>Structural Layer</w:t>
            </w:r>
          </w:p>
        </w:tc>
        <w:tc>
          <w:tcPr>
            <w:tcW w:w="25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8C9CA4" w14:textId="77777777" w:rsidR="00D41EEB" w:rsidRPr="006D4BA1" w:rsidRDefault="00D41EEB" w:rsidP="00D41EEB">
            <w:pPr>
              <w:pStyle w:val="NoSpacing"/>
              <w:rPr>
                <w:rFonts w:asciiTheme="majorBidi" w:hAnsiTheme="majorBidi" w:cstheme="majorBidi"/>
                <w:sz w:val="24"/>
                <w:szCs w:val="24"/>
              </w:rPr>
            </w:pPr>
            <w:r w:rsidRPr="006D4BA1">
              <w:rPr>
                <w:rStyle w:val="Strong"/>
                <w:rFonts w:asciiTheme="majorBidi" w:hAnsiTheme="majorBidi" w:cstheme="majorBidi"/>
                <w:sz w:val="24"/>
                <w:szCs w:val="24"/>
              </w:rPr>
              <w:t>Security Pillar</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623D76" w14:textId="77777777" w:rsidR="00D41EEB" w:rsidRPr="006D4BA1" w:rsidRDefault="00D41EEB" w:rsidP="00D41EEB">
            <w:pPr>
              <w:pStyle w:val="NoSpacing"/>
              <w:rPr>
                <w:rFonts w:asciiTheme="majorBidi" w:hAnsiTheme="majorBidi" w:cstheme="majorBidi"/>
                <w:sz w:val="24"/>
                <w:szCs w:val="24"/>
              </w:rPr>
            </w:pPr>
            <w:r w:rsidRPr="006D4BA1">
              <w:rPr>
                <w:rStyle w:val="Strong"/>
                <w:rFonts w:asciiTheme="majorBidi" w:hAnsiTheme="majorBidi" w:cstheme="majorBidi"/>
                <w:sz w:val="24"/>
                <w:szCs w:val="24"/>
              </w:rPr>
              <w:t>Core Scope &amp; Protections</w:t>
            </w:r>
          </w:p>
        </w:tc>
      </w:tr>
      <w:tr w:rsidR="00D41EEB" w:rsidRPr="006D4BA1" w14:paraId="74B5C70F" w14:textId="77777777" w:rsidTr="00D41EEB">
        <w:trP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C0764C"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Referent Object</w:t>
            </w:r>
          </w:p>
        </w:tc>
        <w:tc>
          <w:tcPr>
            <w:tcW w:w="25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870439"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Human Security</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B9C48A"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xml:space="preserve">The Individual </w:t>
            </w:r>
            <w:r w:rsidRPr="006D4BA1">
              <w:rPr>
                <w:rFonts w:asciiTheme="majorBidi" w:hAnsiTheme="majorBidi" w:cstheme="majorBidi"/>
                <w:i/>
                <w:iCs/>
                <w:sz w:val="24"/>
                <w:szCs w:val="24"/>
              </w:rPr>
              <w:t>(Shifts focus away from state borders to human-centered safety)</w:t>
            </w:r>
          </w:p>
        </w:tc>
      </w:tr>
      <w:tr w:rsidR="00D41EEB" w:rsidRPr="006D4BA1" w14:paraId="0C802A40" w14:textId="77777777" w:rsidTr="00D41EEB">
        <w:trP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A27DFC"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Pillar 1</w:t>
            </w:r>
          </w:p>
        </w:tc>
        <w:tc>
          <w:tcPr>
            <w:tcW w:w="25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C8305A"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Freedom from Fear</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F38D4B"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Protection against direct violence, conflict, and state oppression.</w:t>
            </w:r>
          </w:p>
        </w:tc>
      </w:tr>
      <w:tr w:rsidR="00D41EEB" w:rsidRPr="006D4BA1" w14:paraId="3A07C871" w14:textId="77777777" w:rsidTr="00D41EEB">
        <w:trP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E19A7A"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lastRenderedPageBreak/>
              <w:t>Pillar 2</w:t>
            </w:r>
          </w:p>
        </w:tc>
        <w:tc>
          <w:tcPr>
            <w:tcW w:w="25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F00584"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Freedom from Want</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1043D9"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Protection against poverty, epidemics, and ecological distress.</w:t>
            </w:r>
          </w:p>
        </w:tc>
      </w:tr>
    </w:tbl>
    <w:p w14:paraId="7E8CA623"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sz w:val="24"/>
          <w:szCs w:val="24"/>
        </w:rPr>
        <w:t>By prioritizing human-centered security, this model argues that a state can be militarily secure while its population suffers severe systemic insecurity.</w:t>
      </w:r>
    </w:p>
    <w:p w14:paraId="74CE7948"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Scholarly Debates &amp; Methodological Approaches</w:t>
      </w:r>
    </w:p>
    <w:p w14:paraId="300FC701" w14:textId="77777777" w:rsidR="002B471A" w:rsidRPr="002B471A" w:rsidRDefault="002B471A" w:rsidP="002B471A">
      <w:pPr>
        <w:numPr>
          <w:ilvl w:val="0"/>
          <w:numId w:val="30"/>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Debates:</w:t>
      </w:r>
      <w:r w:rsidRPr="002B471A">
        <w:rPr>
          <w:rFonts w:asciiTheme="majorBidi" w:eastAsia="Times New Roman" w:hAnsiTheme="majorBidi" w:cstheme="majorBidi"/>
          <w:sz w:val="24"/>
          <w:szCs w:val="24"/>
        </w:rPr>
        <w:t xml:space="preserve"> Critics argue that broadening "security" to cover all aspects of human well-being renders the concept analytically useless. Others warn that framing development issues as "security threats" risks militarizing aid and state surveillance (securitization).</w:t>
      </w:r>
    </w:p>
    <w:p w14:paraId="685230FA" w14:textId="77777777" w:rsidR="002B471A" w:rsidRPr="002B471A" w:rsidRDefault="002B471A" w:rsidP="002B471A">
      <w:pPr>
        <w:numPr>
          <w:ilvl w:val="0"/>
          <w:numId w:val="30"/>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Methodology:</w:t>
      </w:r>
      <w:r w:rsidRPr="002B471A">
        <w:rPr>
          <w:rFonts w:asciiTheme="majorBidi" w:eastAsia="Times New Roman" w:hAnsiTheme="majorBidi" w:cstheme="majorBidi"/>
          <w:sz w:val="24"/>
          <w:szCs w:val="24"/>
        </w:rPr>
        <w:t xml:space="preserve"> Mixed-methods combining quantitative human development indices (HDI, vulnerability indices) with qualitative micro-level field interviews and policy evaluation.</w:t>
      </w:r>
    </w:p>
    <w:p w14:paraId="342DC8D4" w14:textId="77777777" w:rsidR="002B471A" w:rsidRPr="002B471A" w:rsidRDefault="002B471A" w:rsidP="002B471A">
      <w:p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b/>
          <w:bCs/>
          <w:sz w:val="24"/>
          <w:szCs w:val="24"/>
        </w:rPr>
        <w:t>Gaps &amp; Future Research Directions</w:t>
      </w:r>
    </w:p>
    <w:p w14:paraId="5B7E36F8" w14:textId="77777777" w:rsidR="002B471A" w:rsidRPr="002B471A" w:rsidRDefault="002B471A" w:rsidP="002B471A">
      <w:pPr>
        <w:numPr>
          <w:ilvl w:val="0"/>
          <w:numId w:val="31"/>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Research Gap:</w:t>
      </w:r>
      <w:r w:rsidRPr="002B471A">
        <w:rPr>
          <w:rFonts w:asciiTheme="majorBidi" w:eastAsia="Times New Roman" w:hAnsiTheme="majorBidi" w:cstheme="majorBidi"/>
          <w:sz w:val="24"/>
          <w:szCs w:val="24"/>
        </w:rPr>
        <w:t xml:space="preserve"> Inconsistent frameworks for balancing individual security rights against state sovereignty during global health or climate emergencies.</w:t>
      </w:r>
    </w:p>
    <w:p w14:paraId="140FACA7" w14:textId="72B079A1" w:rsidR="002B471A" w:rsidRDefault="002B471A" w:rsidP="002B471A">
      <w:pPr>
        <w:numPr>
          <w:ilvl w:val="0"/>
          <w:numId w:val="31"/>
        </w:numPr>
        <w:spacing w:before="100" w:beforeAutospacing="1" w:after="100" w:afterAutospacing="1"/>
        <w:rPr>
          <w:rFonts w:asciiTheme="majorBidi" w:eastAsia="Times New Roman" w:hAnsiTheme="majorBidi" w:cstheme="majorBidi"/>
          <w:sz w:val="24"/>
          <w:szCs w:val="24"/>
        </w:rPr>
      </w:pPr>
      <w:r w:rsidRPr="002B471A">
        <w:rPr>
          <w:rFonts w:asciiTheme="majorBidi" w:eastAsia="Times New Roman" w:hAnsiTheme="majorBidi" w:cstheme="majorBidi"/>
          <w:i/>
          <w:iCs/>
          <w:sz w:val="24"/>
          <w:szCs w:val="24"/>
        </w:rPr>
        <w:t>Future Direction:</w:t>
      </w:r>
      <w:r w:rsidRPr="002B471A">
        <w:rPr>
          <w:rFonts w:asciiTheme="majorBidi" w:eastAsia="Times New Roman" w:hAnsiTheme="majorBidi" w:cstheme="majorBidi"/>
          <w:sz w:val="24"/>
          <w:szCs w:val="24"/>
        </w:rPr>
        <w:t xml:space="preserve"> Operationalizing human security principles in digital environments, specifically regarding data rights, algorithmic bias, and digital surveillance state expansion.</w:t>
      </w:r>
    </w:p>
    <w:tbl>
      <w:tblPr>
        <w:tblStyle w:val="TableGrid"/>
        <w:tblW w:w="10343" w:type="dxa"/>
        <w:jc w:val="center"/>
        <w:tblLook w:val="04A0" w:firstRow="1" w:lastRow="0" w:firstColumn="1" w:lastColumn="0" w:noHBand="0" w:noVBand="1"/>
      </w:tblPr>
      <w:tblGrid>
        <w:gridCol w:w="2279"/>
        <w:gridCol w:w="2405"/>
        <w:gridCol w:w="1701"/>
        <w:gridCol w:w="3958"/>
      </w:tblGrid>
      <w:tr w:rsidR="0096162E" w:rsidRPr="006D4BA1" w14:paraId="1C71A438" w14:textId="77777777" w:rsidTr="00C3232E">
        <w:trPr>
          <w:gridBefore w:val="1"/>
          <w:gridAfter w:val="1"/>
          <w:wBefore w:w="2279" w:type="dxa"/>
          <w:wAfter w:w="3958" w:type="dxa"/>
          <w:jc w:val="center"/>
        </w:trPr>
        <w:tc>
          <w:tcPr>
            <w:tcW w:w="4106" w:type="dxa"/>
            <w:gridSpan w:val="2"/>
          </w:tcPr>
          <w:p w14:paraId="12ECAB3B" w14:textId="77777777" w:rsidR="0096162E" w:rsidRPr="006D4BA1" w:rsidRDefault="0096162E" w:rsidP="00C3232E">
            <w:pPr>
              <w:spacing w:before="100" w:beforeAutospacing="1" w:after="100" w:afterAutospacing="1"/>
              <w:jc w:val="center"/>
              <w:rPr>
                <w:rFonts w:asciiTheme="majorBidi" w:eastAsia="Times New Roman" w:hAnsiTheme="majorBidi" w:cstheme="majorBidi"/>
                <w:b/>
                <w:bCs/>
                <w:sz w:val="24"/>
                <w:szCs w:val="24"/>
              </w:rPr>
            </w:pPr>
            <w:r w:rsidRPr="006D4BA1">
              <w:rPr>
                <w:rFonts w:asciiTheme="majorBidi" w:eastAsia="Times New Roman" w:hAnsiTheme="majorBidi" w:cstheme="majorBidi"/>
                <w:b/>
                <w:bCs/>
                <w:sz w:val="24"/>
                <w:szCs w:val="24"/>
              </w:rPr>
              <w:t>IDENTIFIED RESEARCH GAPS</w:t>
            </w:r>
          </w:p>
        </w:tc>
      </w:tr>
      <w:tr w:rsidR="0096162E" w:rsidRPr="006D4BA1" w14:paraId="2D86C5BE" w14:textId="77777777" w:rsidTr="00C3232E">
        <w:trPr>
          <w:jc w:val="center"/>
        </w:trPr>
        <w:tc>
          <w:tcPr>
            <w:tcW w:w="4684" w:type="dxa"/>
            <w:gridSpan w:val="2"/>
          </w:tcPr>
          <w:p w14:paraId="4EB5AB25" w14:textId="77777777" w:rsidR="0096162E" w:rsidRPr="006D4BA1" w:rsidRDefault="0096162E" w:rsidP="00C3232E">
            <w:pPr>
              <w:spacing w:before="100" w:beforeAutospacing="1" w:after="100" w:afterAutospacing="1"/>
              <w:rPr>
                <w:rFonts w:asciiTheme="majorBidi" w:eastAsia="Times New Roman" w:hAnsiTheme="majorBidi" w:cstheme="majorBidi"/>
                <w:b/>
                <w:bCs/>
                <w:sz w:val="24"/>
                <w:szCs w:val="24"/>
              </w:rPr>
            </w:pPr>
            <w:r w:rsidRPr="006D4BA1">
              <w:rPr>
                <w:rFonts w:asciiTheme="majorBidi" w:eastAsia="Times New Roman" w:hAnsiTheme="majorBidi" w:cstheme="majorBidi"/>
                <w:b/>
                <w:bCs/>
                <w:sz w:val="24"/>
                <w:szCs w:val="24"/>
              </w:rPr>
              <w:t xml:space="preserve">The Infrastructure and      Epistemic Agency Gap        </w:t>
            </w:r>
          </w:p>
        </w:tc>
        <w:tc>
          <w:tcPr>
            <w:tcW w:w="5659" w:type="dxa"/>
            <w:gridSpan w:val="2"/>
          </w:tcPr>
          <w:p w14:paraId="2A738A20" w14:textId="77777777" w:rsidR="0096162E" w:rsidRPr="006D4BA1" w:rsidRDefault="0096162E" w:rsidP="00C3232E">
            <w:pPr>
              <w:pStyle w:val="NoSpacing"/>
              <w:rPr>
                <w:rFonts w:asciiTheme="majorBidi" w:eastAsia="Times New Roman" w:hAnsiTheme="majorBidi" w:cstheme="majorBidi"/>
                <w:b/>
                <w:bCs/>
                <w:sz w:val="24"/>
                <w:szCs w:val="24"/>
              </w:rPr>
            </w:pPr>
            <w:r w:rsidRPr="006D4BA1">
              <w:rPr>
                <w:rFonts w:asciiTheme="majorBidi" w:eastAsia="Times New Roman" w:hAnsiTheme="majorBidi" w:cstheme="majorBidi"/>
                <w:b/>
                <w:bCs/>
                <w:sz w:val="24"/>
                <w:szCs w:val="24"/>
              </w:rPr>
              <w:t>The Non-Traditional Threat Synthesis Gap</w:t>
            </w:r>
          </w:p>
        </w:tc>
      </w:tr>
      <w:tr w:rsidR="0096162E" w:rsidRPr="006D4BA1" w14:paraId="3F8AAE5D" w14:textId="77777777" w:rsidTr="0096162E">
        <w:trPr>
          <w:trHeight w:val="1257"/>
          <w:jc w:val="center"/>
        </w:trPr>
        <w:tc>
          <w:tcPr>
            <w:tcW w:w="4684" w:type="dxa"/>
            <w:gridSpan w:val="2"/>
          </w:tcPr>
          <w:p w14:paraId="265CD4E1" w14:textId="77777777" w:rsidR="0096162E" w:rsidRPr="006D4BA1" w:rsidRDefault="0096162E" w:rsidP="00C3232E">
            <w:pPr>
              <w:spacing w:before="100" w:beforeAutospacing="1" w:after="100" w:afterAutospacing="1"/>
              <w:rPr>
                <w:rFonts w:asciiTheme="majorBidi" w:eastAsia="Times New Roman" w:hAnsiTheme="majorBidi" w:cstheme="majorBidi"/>
                <w:sz w:val="24"/>
                <w:szCs w:val="24"/>
              </w:rPr>
            </w:pPr>
            <w:r w:rsidRPr="006D4BA1">
              <w:rPr>
                <w:rFonts w:asciiTheme="majorBidi" w:eastAsia="Times New Roman" w:hAnsiTheme="majorBidi" w:cstheme="majorBidi"/>
                <w:sz w:val="24"/>
                <w:szCs w:val="24"/>
              </w:rPr>
              <w:t>•Traditional views look only   at military or open trade. Misses how digital assets (data centers, subsea cables) create a hybrid form of geopolitical leverage.</w:t>
            </w:r>
          </w:p>
        </w:tc>
        <w:tc>
          <w:tcPr>
            <w:tcW w:w="5659" w:type="dxa"/>
            <w:gridSpan w:val="2"/>
          </w:tcPr>
          <w:p w14:paraId="525F80D2" w14:textId="77777777" w:rsidR="0096162E" w:rsidRPr="006D4BA1" w:rsidRDefault="0096162E" w:rsidP="00C32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rPr>
            </w:pPr>
            <w:r w:rsidRPr="006D4BA1">
              <w:rPr>
                <w:rFonts w:asciiTheme="majorBidi" w:eastAsia="Times New Roman" w:hAnsiTheme="majorBidi" w:cstheme="majorBidi"/>
                <w:sz w:val="24"/>
                <w:szCs w:val="24"/>
              </w:rPr>
              <w:t>•Realism captures resource hoarding during crises.</w:t>
            </w:r>
          </w:p>
          <w:p w14:paraId="34DDE443" w14:textId="77777777" w:rsidR="0096162E" w:rsidRPr="006D4BA1" w:rsidRDefault="0096162E" w:rsidP="00C32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rPr>
            </w:pPr>
            <w:r w:rsidRPr="006D4BA1">
              <w:rPr>
                <w:rFonts w:asciiTheme="majorBidi" w:eastAsia="Times New Roman" w:hAnsiTheme="majorBidi" w:cstheme="majorBidi"/>
                <w:sz w:val="24"/>
                <w:szCs w:val="24"/>
              </w:rPr>
              <w:t>•</w:t>
            </w:r>
            <w:r w:rsidRPr="006D4BA1">
              <w:rPr>
                <w:rFonts w:asciiTheme="majorBidi" w:hAnsiTheme="majorBidi" w:cstheme="majorBidi"/>
                <w:sz w:val="24"/>
                <w:szCs w:val="24"/>
              </w:rPr>
              <w:t xml:space="preserve">Liberalism captures the </w:t>
            </w:r>
            <w:r w:rsidRPr="006D4BA1">
              <w:rPr>
                <w:rFonts w:asciiTheme="majorBidi" w:eastAsia="Times New Roman" w:hAnsiTheme="majorBidi" w:cstheme="majorBidi"/>
                <w:sz w:val="24"/>
                <w:szCs w:val="24"/>
              </w:rPr>
              <w:t xml:space="preserve">institutional tracking side.  Neither framework models how states run BOTH modes at once.  </w:t>
            </w:r>
          </w:p>
        </w:tc>
      </w:tr>
    </w:tbl>
    <w:p w14:paraId="510ED24E" w14:textId="7B9F0C02" w:rsidR="00597A16" w:rsidRPr="006D4BA1" w:rsidRDefault="00597A16" w:rsidP="00F938DE">
      <w:pPr>
        <w:spacing w:before="100" w:beforeAutospacing="1" w:after="100" w:afterAutospacing="1"/>
        <w:outlineLvl w:val="1"/>
        <w:rPr>
          <w:rFonts w:asciiTheme="majorBidi" w:eastAsia="Times New Roman" w:hAnsiTheme="majorBidi" w:cstheme="majorBidi"/>
          <w:b/>
          <w:bCs/>
          <w:sz w:val="24"/>
          <w:szCs w:val="24"/>
        </w:rPr>
      </w:pPr>
      <w:r w:rsidRPr="006D4BA1">
        <w:rPr>
          <w:rFonts w:asciiTheme="majorBidi" w:eastAsia="Times New Roman" w:hAnsiTheme="majorBidi" w:cstheme="majorBidi"/>
          <w:b/>
          <w:bCs/>
          <w:sz w:val="24"/>
          <w:szCs w:val="24"/>
        </w:rPr>
        <w:t>Comparative Assessment &amp; Cross-Cutting Synthesis</w:t>
      </w:r>
    </w:p>
    <w:p w14:paraId="4C7072AA" w14:textId="27713DB3" w:rsidR="00F938DE" w:rsidRPr="00F938DE" w:rsidRDefault="00122ECD" w:rsidP="00F938DE">
      <w:pPr>
        <w:spacing w:before="100" w:beforeAutospacing="1" w:after="100" w:afterAutospacing="1"/>
        <w:outlineLvl w:val="2"/>
        <w:rPr>
          <w:rFonts w:asciiTheme="majorBidi" w:eastAsia="Times New Roman" w:hAnsiTheme="majorBidi" w:cstheme="majorBidi"/>
          <w:b/>
          <w:bCs/>
          <w:sz w:val="32"/>
          <w:szCs w:val="32"/>
        </w:rPr>
      </w:pPr>
      <w:r w:rsidRPr="00122ECD">
        <w:rPr>
          <w:rFonts w:asciiTheme="majorBidi" w:eastAsia="Times New Roman" w:hAnsiTheme="majorBidi" w:cstheme="majorBidi"/>
          <w:b/>
          <w:bCs/>
          <w:sz w:val="32"/>
          <w:szCs w:val="32"/>
        </w:rPr>
        <w:t>7</w:t>
      </w:r>
      <w:r w:rsidR="00F938DE" w:rsidRPr="00F938DE">
        <w:rPr>
          <w:rFonts w:asciiTheme="majorBidi" w:eastAsia="Times New Roman" w:hAnsiTheme="majorBidi" w:cstheme="majorBidi"/>
          <w:b/>
          <w:bCs/>
          <w:sz w:val="32"/>
          <w:szCs w:val="32"/>
        </w:rPr>
        <w:t>. Synthesizing Marxism and Green Theory: Green Extractivism in the Global South</w:t>
      </w:r>
    </w:p>
    <w:p w14:paraId="10EBC6D1" w14:textId="77777777" w:rsidR="00F938DE" w:rsidRPr="00F938DE" w:rsidRDefault="00F938DE" w:rsidP="00F938DE">
      <w:p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 xml:space="preserve">Combining Marxist political economy with Green Theory creates a framework for analyzing </w:t>
      </w:r>
      <w:r w:rsidRPr="00F938DE">
        <w:rPr>
          <w:rFonts w:asciiTheme="majorBidi" w:eastAsia="Times New Roman" w:hAnsiTheme="majorBidi" w:cstheme="majorBidi"/>
          <w:b/>
          <w:bCs/>
          <w:sz w:val="24"/>
          <w:szCs w:val="24"/>
        </w:rPr>
        <w:t>eco-Marxism</w:t>
      </w:r>
      <w:r w:rsidRPr="00F938DE">
        <w:rPr>
          <w:rFonts w:asciiTheme="majorBidi" w:eastAsia="Times New Roman" w:hAnsiTheme="majorBidi" w:cstheme="majorBidi"/>
          <w:sz w:val="24"/>
          <w:szCs w:val="24"/>
        </w:rPr>
        <w:t xml:space="preserve"> and </w:t>
      </w:r>
      <w:r w:rsidRPr="00F938DE">
        <w:rPr>
          <w:rFonts w:asciiTheme="majorBidi" w:eastAsia="Times New Roman" w:hAnsiTheme="majorBidi" w:cstheme="majorBidi"/>
          <w:b/>
          <w:bCs/>
          <w:sz w:val="24"/>
          <w:szCs w:val="24"/>
        </w:rPr>
        <w:t>ecological imperialism</w:t>
      </w:r>
      <w:r w:rsidRPr="00F938DE">
        <w:rPr>
          <w:rFonts w:asciiTheme="majorBidi" w:eastAsia="Times New Roman" w:hAnsiTheme="majorBidi" w:cstheme="majorBidi"/>
          <w:sz w:val="24"/>
          <w:szCs w:val="24"/>
        </w:rPr>
        <w:t>. While classical Marxism focuses on the exploitation of labor (v) to produce surplus value (s), Green Theory highlights the unpaid depletion of nature—what ecological Marxists call the "second contradiction of capitalism."</w:t>
      </w:r>
    </w:p>
    <w:p w14:paraId="03F88EE9" w14:textId="77777777" w:rsidR="00D41EEB" w:rsidRPr="00D41EEB" w:rsidRDefault="00D41EEB" w:rsidP="00D41EEB">
      <w:pPr>
        <w:spacing w:before="100" w:beforeAutospacing="1" w:after="100" w:afterAutospacing="1"/>
        <w:outlineLvl w:val="2"/>
        <w:rPr>
          <w:rFonts w:asciiTheme="majorBidi" w:eastAsia="Times New Roman" w:hAnsiTheme="majorBidi" w:cstheme="majorBidi"/>
          <w:b/>
          <w:bCs/>
          <w:sz w:val="24"/>
          <w:szCs w:val="24"/>
        </w:rPr>
      </w:pPr>
      <w:r w:rsidRPr="00D41EEB">
        <w:rPr>
          <w:rFonts w:asciiTheme="majorBidi" w:eastAsia="Times New Roman" w:hAnsiTheme="majorBidi" w:cstheme="majorBidi"/>
          <w:b/>
          <w:bCs/>
          <w:sz w:val="24"/>
          <w:szCs w:val="24"/>
        </w:rPr>
        <w:lastRenderedPageBreak/>
        <w:t>Eco-Marxist Analysis of Green Extractivism and Resource Extraction</w:t>
      </w:r>
    </w:p>
    <w:tbl>
      <w:tblPr>
        <w:tblW w:w="11199" w:type="dxa"/>
        <w:tblCellSpacing w:w="15" w:type="dxa"/>
        <w:tblInd w:w="-1001" w:type="dxa"/>
        <w:tblCellMar>
          <w:top w:w="15" w:type="dxa"/>
          <w:left w:w="15" w:type="dxa"/>
          <w:bottom w:w="15" w:type="dxa"/>
          <w:right w:w="15" w:type="dxa"/>
        </w:tblCellMar>
        <w:tblLook w:val="04A0" w:firstRow="1" w:lastRow="0" w:firstColumn="1" w:lastColumn="0" w:noHBand="0" w:noVBand="1"/>
      </w:tblPr>
      <w:tblGrid>
        <w:gridCol w:w="2269"/>
        <w:gridCol w:w="2693"/>
        <w:gridCol w:w="6237"/>
      </w:tblGrid>
      <w:tr w:rsidR="0096162E" w:rsidRPr="006D4BA1" w14:paraId="4A6FDF5B" w14:textId="77777777" w:rsidTr="00122ECD">
        <w:trPr>
          <w:tblHeade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8F30E5"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Structural Node / Flow</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53C07F"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Theoretical Concept</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0C92FE"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Structural Mechanism &amp; Global Impact</w:t>
            </w:r>
          </w:p>
        </w:tc>
      </w:tr>
      <w:tr w:rsidR="0096162E" w:rsidRPr="006D4BA1" w14:paraId="28B6844B" w14:textId="77777777" w:rsidTr="00122ECD">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D89208"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Core Countries &amp; Transnational Capital</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670CEE"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Capital Accumulation &amp; Ecological Demand</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093C2A" w14:textId="77FA797C"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Surplus Extraction: Captures maximum surplus value by maintaining low primary commodity prices.</w:t>
            </w:r>
          </w:p>
          <w:p w14:paraId="7055DAC4"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Green Transition Demand: Drives intense demand for critical energy transition minerals (</w:t>
            </w:r>
            <w:r w:rsidRPr="006D4BA1">
              <w:rPr>
                <w:rFonts w:asciiTheme="majorBidi" w:hAnsiTheme="majorBidi" w:cstheme="majorBidi"/>
                <w:i/>
                <w:iCs/>
                <w:sz w:val="24"/>
                <w:szCs w:val="24"/>
              </w:rPr>
              <w:t>lithium, cobalt, nickel</w:t>
            </w:r>
            <w:r w:rsidRPr="006D4BA1">
              <w:rPr>
                <w:rFonts w:asciiTheme="majorBidi" w:hAnsiTheme="majorBidi" w:cstheme="majorBidi"/>
                <w:sz w:val="24"/>
                <w:szCs w:val="24"/>
              </w:rPr>
              <w:t>) to fuel Northern decarbonization.</w:t>
            </w:r>
          </w:p>
        </w:tc>
      </w:tr>
      <w:tr w:rsidR="0096162E" w:rsidRPr="006D4BA1" w14:paraId="1045CFEB" w14:textId="77777777" w:rsidTr="00122ECD">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FC1CAA" w14:textId="0F80496E" w:rsidR="00D41EEB" w:rsidRPr="006D4BA1" w:rsidRDefault="00D41EEB" w:rsidP="00122ECD">
            <w:pPr>
              <w:pStyle w:val="NoSpacing"/>
              <w:rPr>
                <w:rFonts w:asciiTheme="majorBidi" w:hAnsiTheme="majorBidi" w:cstheme="majorBidi"/>
                <w:b/>
                <w:bCs/>
                <w:sz w:val="24"/>
                <w:szCs w:val="24"/>
              </w:rPr>
            </w:pPr>
            <w:r w:rsidRPr="006D4BA1">
              <w:rPr>
                <w:rFonts w:asciiTheme="majorBidi" w:hAnsiTheme="majorBidi" w:cstheme="majorBidi"/>
                <w:b/>
                <w:bCs/>
                <w:sz w:val="24"/>
                <w:szCs w:val="24"/>
              </w:rPr>
              <w:t>Directional Flows</w:t>
            </w:r>
          </w:p>
          <w:p w14:paraId="3AE47F4C"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i/>
                <w:iCs/>
                <w:sz w:val="24"/>
                <w:szCs w:val="24"/>
              </w:rPr>
              <w:t>(Core-to-Periphery Link)</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F462C5"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Resource Extraction &amp; Demand Outflows</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3D00DA" w14:textId="0CCDDDDD"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Outbound Pressure: High demand for raw transition inputs and capital investments into mining concessions.</w:t>
            </w:r>
          </w:p>
          <w:p w14:paraId="21568C01"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Inbound Flows: Outflow of unrefined primary resources and financial surplus back to core markets.</w:t>
            </w:r>
          </w:p>
        </w:tc>
      </w:tr>
      <w:tr w:rsidR="0096162E" w:rsidRPr="006D4BA1" w14:paraId="0348AFFF" w14:textId="77777777" w:rsidTr="00122ECD">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461DC5"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Periphery &amp; Global South Ecosystems</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F0FFA2"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The Metabolic Rift &amp; Structural Subordination</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6C08A3" w14:textId="03D257CF"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Site of Extraction: Functions as the primary geographic domain where environmental degradation and human costs are absorbed.</w:t>
            </w:r>
          </w:p>
          <w:p w14:paraId="3994247D"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Ecological Imperialism: Displaces the environmental consequences of core industrial activity onto peripheral ecosystems.</w:t>
            </w:r>
          </w:p>
        </w:tc>
      </w:tr>
      <w:tr w:rsidR="0096162E" w:rsidRPr="006D4BA1" w14:paraId="2F7F4BA6" w14:textId="77777777" w:rsidTr="00122ECD">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948249" w14:textId="77777777" w:rsidR="00D41EEB" w:rsidRPr="006D4BA1" w:rsidRDefault="00D41EEB" w:rsidP="00D41EEB">
            <w:pPr>
              <w:pStyle w:val="NoSpacing"/>
              <w:rPr>
                <w:rFonts w:asciiTheme="majorBidi" w:hAnsiTheme="majorBidi" w:cstheme="majorBidi"/>
                <w:b/>
                <w:bCs/>
                <w:sz w:val="24"/>
                <w:szCs w:val="24"/>
              </w:rPr>
            </w:pPr>
            <w:r w:rsidRPr="006D4BA1">
              <w:rPr>
                <w:rFonts w:asciiTheme="majorBidi" w:hAnsiTheme="majorBidi" w:cstheme="majorBidi"/>
                <w:b/>
                <w:bCs/>
                <w:sz w:val="24"/>
                <w:szCs w:val="24"/>
              </w:rPr>
              <w:t>Outcomes on Peripheral Systems</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56EA49"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Labor Exploitation &amp; Ecological Imperialism</w:t>
            </w:r>
          </w:p>
        </w:tc>
        <w:tc>
          <w:tcPr>
            <w:tcW w:w="619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BD6B75" w14:textId="356C9355"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Labor Exploitation: Enforces low-wage, high-risk labor regimes and unequal ecological exchange.</w:t>
            </w:r>
          </w:p>
          <w:p w14:paraId="3FD02745" w14:textId="77777777" w:rsidR="00D41EEB" w:rsidRPr="006D4BA1" w:rsidRDefault="00D41EEB" w:rsidP="00D41EEB">
            <w:pPr>
              <w:pStyle w:val="NoSpacing"/>
              <w:rPr>
                <w:rFonts w:asciiTheme="majorBidi" w:hAnsiTheme="majorBidi" w:cstheme="majorBidi"/>
                <w:sz w:val="24"/>
                <w:szCs w:val="24"/>
              </w:rPr>
            </w:pPr>
            <w:r w:rsidRPr="006D4BA1">
              <w:rPr>
                <w:rFonts w:asciiTheme="majorBidi" w:hAnsiTheme="majorBidi" w:cstheme="majorBidi"/>
                <w:sz w:val="24"/>
                <w:szCs w:val="24"/>
              </w:rPr>
              <w:t>• Ecological Degradation: Induces localized toxicity, severe water depletion, habitat destruction, and systemic metabolic rifts.</w:t>
            </w:r>
          </w:p>
        </w:tc>
      </w:tr>
    </w:tbl>
    <w:p w14:paraId="41A8A3D7" w14:textId="7DA25887" w:rsidR="00D41EEB" w:rsidRPr="006D4BA1" w:rsidRDefault="00D41EEB" w:rsidP="00F9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rPr>
      </w:pPr>
    </w:p>
    <w:p w14:paraId="582B22AF" w14:textId="09DE864B" w:rsidR="00D41EEB" w:rsidRPr="006D4BA1" w:rsidRDefault="00D41EEB" w:rsidP="00F9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rPr>
      </w:pPr>
    </w:p>
    <w:p w14:paraId="38D2A23F" w14:textId="77777777" w:rsidR="00D41EEB" w:rsidRPr="00F938DE" w:rsidRDefault="00D41EEB" w:rsidP="00F9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rPr>
      </w:pPr>
    </w:p>
    <w:p w14:paraId="3066F9C3" w14:textId="77777777" w:rsidR="00F938DE" w:rsidRPr="00F938DE" w:rsidRDefault="00F938DE" w:rsidP="00F938DE">
      <w:pPr>
        <w:numPr>
          <w:ilvl w:val="0"/>
          <w:numId w:val="32"/>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The Metabolic Rift &amp; Unequal Ecological Exchange:</w:t>
      </w:r>
      <w:r w:rsidRPr="00F938DE">
        <w:rPr>
          <w:rFonts w:asciiTheme="majorBidi" w:eastAsia="Times New Roman" w:hAnsiTheme="majorBidi" w:cstheme="majorBidi"/>
          <w:sz w:val="24"/>
          <w:szCs w:val="24"/>
        </w:rPr>
        <w:t xml:space="preserve"> Capitalist accumulation disrupts natural biological cycles (the metabolic rift). Wealthy nations offload the ecological costs of their economies onto peripheral nations. The Global South exports raw energy, biomass, and minerals at prices that do not account for long-term ecological depletion.</w:t>
      </w:r>
    </w:p>
    <w:p w14:paraId="79888175" w14:textId="77777777" w:rsidR="00F938DE" w:rsidRPr="00F938DE" w:rsidRDefault="00F938DE" w:rsidP="00F938DE">
      <w:pPr>
        <w:numPr>
          <w:ilvl w:val="0"/>
          <w:numId w:val="32"/>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Green Extractivism:</w:t>
      </w:r>
      <w:r w:rsidRPr="00F938DE">
        <w:rPr>
          <w:rFonts w:asciiTheme="majorBidi" w:eastAsia="Times New Roman" w:hAnsiTheme="majorBidi" w:cstheme="majorBidi"/>
          <w:sz w:val="24"/>
          <w:szCs w:val="24"/>
        </w:rPr>
        <w:t xml:space="preserve"> The global energy transition relies heavily on critical minerals (lithium, cobalt, nickel, rare earths) concentrated in regions like the "Lithium Triangle" (Chile, Argentina, Bolivia) and the Democratic Republic of Congo. Under the guise of global climate action, core economies and transnational corporations enforce traditional extraction patterns, displacing indigenous communities and polluting local watersheds to fuel green consumption in the Global North.</w:t>
      </w:r>
    </w:p>
    <w:p w14:paraId="04DB5A9F" w14:textId="068F5C85" w:rsidR="00F938DE" w:rsidRPr="00F938DE" w:rsidRDefault="00122ECD" w:rsidP="00F938DE">
      <w:pPr>
        <w:spacing w:before="100" w:beforeAutospacing="1" w:after="100" w:afterAutospacing="1"/>
        <w:outlineLvl w:val="2"/>
        <w:rPr>
          <w:rFonts w:asciiTheme="majorBidi" w:eastAsia="Times New Roman" w:hAnsiTheme="majorBidi" w:cstheme="majorBidi"/>
          <w:b/>
          <w:bCs/>
          <w:sz w:val="32"/>
          <w:szCs w:val="32"/>
        </w:rPr>
      </w:pPr>
      <w:r w:rsidRPr="00122ECD">
        <w:rPr>
          <w:rFonts w:asciiTheme="majorBidi" w:eastAsia="Times New Roman" w:hAnsiTheme="majorBidi" w:cstheme="majorBidi"/>
          <w:b/>
          <w:bCs/>
          <w:sz w:val="32"/>
          <w:szCs w:val="32"/>
        </w:rPr>
        <w:lastRenderedPageBreak/>
        <w:t>8</w:t>
      </w:r>
      <w:r w:rsidR="00F938DE" w:rsidRPr="00F938DE">
        <w:rPr>
          <w:rFonts w:asciiTheme="majorBidi" w:eastAsia="Times New Roman" w:hAnsiTheme="majorBidi" w:cstheme="majorBidi"/>
          <w:b/>
          <w:bCs/>
          <w:sz w:val="32"/>
          <w:szCs w:val="32"/>
        </w:rPr>
        <w:t>. Feminist IR vs. Human Security: Conflict Resolution &amp; Post-War Rebuilding</w:t>
      </w:r>
    </w:p>
    <w:p w14:paraId="6E3035A3" w14:textId="77777777" w:rsidR="00F938DE" w:rsidRPr="00F938DE" w:rsidRDefault="00F938DE" w:rsidP="00F938DE">
      <w:p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While both Feminist IR and Human Security challenge traditional state-centric realism by focusing on human lives rather than border defense, they differ in their diagnosis of security and approach to peacebuilding:</w:t>
      </w:r>
    </w:p>
    <w:tbl>
      <w:tblPr>
        <w:tblW w:w="11483" w:type="dxa"/>
        <w:tblCellSpacing w:w="15" w:type="dxa"/>
        <w:tblInd w:w="-993" w:type="dxa"/>
        <w:tblCellMar>
          <w:top w:w="15" w:type="dxa"/>
          <w:left w:w="15" w:type="dxa"/>
          <w:bottom w:w="15" w:type="dxa"/>
          <w:right w:w="15" w:type="dxa"/>
        </w:tblCellMar>
        <w:tblLook w:val="04A0" w:firstRow="1" w:lastRow="0" w:firstColumn="1" w:lastColumn="0" w:noHBand="0" w:noVBand="1"/>
      </w:tblPr>
      <w:tblGrid>
        <w:gridCol w:w="2411"/>
        <w:gridCol w:w="4678"/>
        <w:gridCol w:w="4394"/>
      </w:tblGrid>
      <w:tr w:rsidR="00F938DE" w:rsidRPr="00F938DE" w14:paraId="193F0692" w14:textId="77777777" w:rsidTr="006178D7">
        <w:trPr>
          <w:tblHeader/>
          <w:tblCellSpacing w:w="15" w:type="dxa"/>
        </w:trPr>
        <w:tc>
          <w:tcPr>
            <w:tcW w:w="2366" w:type="dxa"/>
            <w:vAlign w:val="center"/>
            <w:hideMark/>
          </w:tcPr>
          <w:p w14:paraId="4A86B10A" w14:textId="77777777" w:rsidR="00F938DE" w:rsidRPr="00F938DE" w:rsidRDefault="00F938DE" w:rsidP="00F938DE">
            <w:pPr>
              <w:jc w:val="center"/>
              <w:rPr>
                <w:rFonts w:asciiTheme="majorBidi" w:eastAsia="Times New Roman" w:hAnsiTheme="majorBidi" w:cstheme="majorBidi"/>
                <w:b/>
                <w:bCs/>
                <w:sz w:val="24"/>
                <w:szCs w:val="24"/>
              </w:rPr>
            </w:pPr>
            <w:r w:rsidRPr="00F938DE">
              <w:rPr>
                <w:rFonts w:asciiTheme="majorBidi" w:eastAsia="Times New Roman" w:hAnsiTheme="majorBidi" w:cstheme="majorBidi"/>
                <w:b/>
                <w:bCs/>
                <w:sz w:val="24"/>
                <w:szCs w:val="24"/>
              </w:rPr>
              <w:t>Comparative Dimension</w:t>
            </w:r>
          </w:p>
        </w:tc>
        <w:tc>
          <w:tcPr>
            <w:tcW w:w="4648" w:type="dxa"/>
            <w:vAlign w:val="center"/>
            <w:hideMark/>
          </w:tcPr>
          <w:p w14:paraId="2C42AC2B" w14:textId="77777777" w:rsidR="00F938DE" w:rsidRPr="00F938DE" w:rsidRDefault="00F938DE" w:rsidP="00F938DE">
            <w:pPr>
              <w:jc w:val="center"/>
              <w:rPr>
                <w:rFonts w:asciiTheme="majorBidi" w:eastAsia="Times New Roman" w:hAnsiTheme="majorBidi" w:cstheme="majorBidi"/>
                <w:b/>
                <w:bCs/>
                <w:sz w:val="24"/>
                <w:szCs w:val="24"/>
              </w:rPr>
            </w:pPr>
            <w:r w:rsidRPr="00F938DE">
              <w:rPr>
                <w:rFonts w:asciiTheme="majorBidi" w:eastAsia="Times New Roman" w:hAnsiTheme="majorBidi" w:cstheme="majorBidi"/>
                <w:b/>
                <w:bCs/>
                <w:sz w:val="24"/>
                <w:szCs w:val="24"/>
              </w:rPr>
              <w:t>Feminist International Relations</w:t>
            </w:r>
          </w:p>
        </w:tc>
        <w:tc>
          <w:tcPr>
            <w:tcW w:w="4349" w:type="dxa"/>
            <w:vAlign w:val="center"/>
            <w:hideMark/>
          </w:tcPr>
          <w:p w14:paraId="14D3B7CE" w14:textId="77777777" w:rsidR="00F938DE" w:rsidRPr="00F938DE" w:rsidRDefault="00F938DE" w:rsidP="00F938DE">
            <w:pPr>
              <w:jc w:val="center"/>
              <w:rPr>
                <w:rFonts w:asciiTheme="majorBidi" w:eastAsia="Times New Roman" w:hAnsiTheme="majorBidi" w:cstheme="majorBidi"/>
                <w:b/>
                <w:bCs/>
                <w:sz w:val="24"/>
                <w:szCs w:val="24"/>
              </w:rPr>
            </w:pPr>
            <w:r w:rsidRPr="00F938DE">
              <w:rPr>
                <w:rFonts w:asciiTheme="majorBidi" w:eastAsia="Times New Roman" w:hAnsiTheme="majorBidi" w:cstheme="majorBidi"/>
                <w:b/>
                <w:bCs/>
                <w:sz w:val="24"/>
                <w:szCs w:val="24"/>
              </w:rPr>
              <w:t>Human Security Framework</w:t>
            </w:r>
          </w:p>
        </w:tc>
      </w:tr>
      <w:tr w:rsidR="00F938DE" w:rsidRPr="00F938DE" w14:paraId="189DA5F4" w14:textId="77777777" w:rsidTr="006178D7">
        <w:trPr>
          <w:tblCellSpacing w:w="15" w:type="dxa"/>
        </w:trPr>
        <w:tc>
          <w:tcPr>
            <w:tcW w:w="2366" w:type="dxa"/>
            <w:vAlign w:val="center"/>
            <w:hideMark/>
          </w:tcPr>
          <w:p w14:paraId="21EBD360"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Referent Object</w:t>
            </w:r>
          </w:p>
        </w:tc>
        <w:tc>
          <w:tcPr>
            <w:tcW w:w="4648" w:type="dxa"/>
            <w:vAlign w:val="center"/>
            <w:hideMark/>
          </w:tcPr>
          <w:p w14:paraId="6F18D686"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Gendered individuals &amp; intersecting identity groups</w:t>
            </w:r>
          </w:p>
        </w:tc>
        <w:tc>
          <w:tcPr>
            <w:tcW w:w="4349" w:type="dxa"/>
            <w:vAlign w:val="center"/>
            <w:hideMark/>
          </w:tcPr>
          <w:p w14:paraId="26EACBEA"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Individual human beings</w:t>
            </w:r>
          </w:p>
        </w:tc>
      </w:tr>
      <w:tr w:rsidR="00F938DE" w:rsidRPr="00F938DE" w14:paraId="4F59688A" w14:textId="77777777" w:rsidTr="006178D7">
        <w:trPr>
          <w:tblCellSpacing w:w="15" w:type="dxa"/>
        </w:trPr>
        <w:tc>
          <w:tcPr>
            <w:tcW w:w="2366" w:type="dxa"/>
            <w:vAlign w:val="center"/>
            <w:hideMark/>
          </w:tcPr>
          <w:p w14:paraId="72F4423A"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Primary Diagnosis</w:t>
            </w:r>
          </w:p>
        </w:tc>
        <w:tc>
          <w:tcPr>
            <w:tcW w:w="4648" w:type="dxa"/>
            <w:vAlign w:val="center"/>
            <w:hideMark/>
          </w:tcPr>
          <w:p w14:paraId="1F9D9AF1"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Patriarchy, militarized masculinity, and systemic structural violence</w:t>
            </w:r>
          </w:p>
        </w:tc>
        <w:tc>
          <w:tcPr>
            <w:tcW w:w="4349" w:type="dxa"/>
            <w:vAlign w:val="center"/>
            <w:hideMark/>
          </w:tcPr>
          <w:p w14:paraId="7C4DCA5E"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Physical violence (fear) &amp; socio-economic deprivation (want)</w:t>
            </w:r>
          </w:p>
        </w:tc>
      </w:tr>
      <w:tr w:rsidR="00F938DE" w:rsidRPr="00F938DE" w14:paraId="197A4352" w14:textId="77777777" w:rsidTr="006178D7">
        <w:trPr>
          <w:tblCellSpacing w:w="15" w:type="dxa"/>
        </w:trPr>
        <w:tc>
          <w:tcPr>
            <w:tcW w:w="2366" w:type="dxa"/>
            <w:vAlign w:val="center"/>
            <w:hideMark/>
          </w:tcPr>
          <w:p w14:paraId="340C61A8"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Approach to Peace</w:t>
            </w:r>
          </w:p>
        </w:tc>
        <w:tc>
          <w:tcPr>
            <w:tcW w:w="4648" w:type="dxa"/>
            <w:vAlign w:val="center"/>
            <w:hideMark/>
          </w:tcPr>
          <w:p w14:paraId="5A0B369B"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Positive peace: disassembling gendered power hierarchies and militarism</w:t>
            </w:r>
          </w:p>
        </w:tc>
        <w:tc>
          <w:tcPr>
            <w:tcW w:w="4349" w:type="dxa"/>
            <w:vAlign w:val="center"/>
            <w:hideMark/>
          </w:tcPr>
          <w:p w14:paraId="7B3ACA92"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Operational/Policy peace: institutional protection and capacity building</w:t>
            </w:r>
          </w:p>
        </w:tc>
      </w:tr>
      <w:tr w:rsidR="00F938DE" w:rsidRPr="00F938DE" w14:paraId="7B9414AF" w14:textId="77777777" w:rsidTr="006178D7">
        <w:trPr>
          <w:tblCellSpacing w:w="15" w:type="dxa"/>
        </w:trPr>
        <w:tc>
          <w:tcPr>
            <w:tcW w:w="2366" w:type="dxa"/>
            <w:vAlign w:val="center"/>
            <w:hideMark/>
          </w:tcPr>
          <w:p w14:paraId="02755312"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Critique of the Other</w:t>
            </w:r>
          </w:p>
        </w:tc>
        <w:tc>
          <w:tcPr>
            <w:tcW w:w="4648" w:type="dxa"/>
            <w:vAlign w:val="center"/>
            <w:hideMark/>
          </w:tcPr>
          <w:p w14:paraId="6A008871"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Views Human Security as vulnerable to gender-blindness and institutional co-optation</w:t>
            </w:r>
          </w:p>
        </w:tc>
        <w:tc>
          <w:tcPr>
            <w:tcW w:w="4349" w:type="dxa"/>
            <w:vAlign w:val="center"/>
            <w:hideMark/>
          </w:tcPr>
          <w:p w14:paraId="317F4C04" w14:textId="77777777" w:rsidR="00F938DE" w:rsidRPr="00F938DE" w:rsidRDefault="00F938DE" w:rsidP="00F938DE">
            <w:pPr>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Views Feminist IR as hard to operationalize in policy frameworks</w:t>
            </w:r>
          </w:p>
        </w:tc>
      </w:tr>
    </w:tbl>
    <w:p w14:paraId="56933A40" w14:textId="77777777" w:rsidR="006178D7" w:rsidRPr="006D4BA1" w:rsidRDefault="00F938DE" w:rsidP="00F9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 xml:space="preserve">           </w:t>
      </w:r>
    </w:p>
    <w:p w14:paraId="05FA98CB" w14:textId="77777777" w:rsidR="00331C9F" w:rsidRPr="006D4BA1" w:rsidRDefault="00331C9F" w:rsidP="00331C9F">
      <w:pPr>
        <w:pStyle w:val="Heading3"/>
        <w:rPr>
          <w:rFonts w:asciiTheme="majorBidi" w:hAnsiTheme="majorBidi"/>
          <w:b/>
          <w:bCs/>
        </w:rPr>
      </w:pPr>
      <w:r w:rsidRPr="006D4BA1">
        <w:rPr>
          <w:rFonts w:asciiTheme="majorBidi" w:hAnsiTheme="majorBidi"/>
          <w:b/>
          <w:bCs/>
        </w:rPr>
        <w:t>Comparative Approaches to Conflict Resolution: Human Security vs. Feminist IR</w:t>
      </w:r>
    </w:p>
    <w:tbl>
      <w:tblPr>
        <w:tblW w:w="11199" w:type="dxa"/>
        <w:tblCellSpacing w:w="15" w:type="dxa"/>
        <w:tblInd w:w="-859" w:type="dxa"/>
        <w:tblCellMar>
          <w:top w:w="15" w:type="dxa"/>
          <w:left w:w="15" w:type="dxa"/>
          <w:bottom w:w="15" w:type="dxa"/>
          <w:right w:w="15" w:type="dxa"/>
        </w:tblCellMar>
        <w:tblLook w:val="04A0" w:firstRow="1" w:lastRow="0" w:firstColumn="1" w:lastColumn="0" w:noHBand="0" w:noVBand="1"/>
      </w:tblPr>
      <w:tblGrid>
        <w:gridCol w:w="2127"/>
        <w:gridCol w:w="4111"/>
        <w:gridCol w:w="4961"/>
      </w:tblGrid>
      <w:tr w:rsidR="00331C9F" w:rsidRPr="006D4BA1" w14:paraId="40CFE099" w14:textId="77777777" w:rsidTr="0096162E">
        <w:trPr>
          <w:trHeight w:val="427"/>
          <w:tblHeade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C4606F" w14:textId="31E9CB11" w:rsidR="00331C9F" w:rsidRPr="006D4BA1" w:rsidRDefault="00331C9F">
            <w:pPr>
              <w:spacing w:after="480"/>
              <w:rPr>
                <w:rFonts w:asciiTheme="majorBidi" w:hAnsiTheme="majorBidi" w:cstheme="majorBidi"/>
                <w:sz w:val="24"/>
                <w:szCs w:val="24"/>
              </w:rPr>
            </w:pPr>
            <w:r w:rsidRPr="006D4BA1">
              <w:rPr>
                <w:rStyle w:val="Strong"/>
                <w:rFonts w:asciiTheme="majorBidi" w:hAnsiTheme="majorBidi" w:cstheme="majorBidi"/>
                <w:sz w:val="24"/>
                <w:szCs w:val="24"/>
              </w:rPr>
              <w:t>Analy/Category</w:t>
            </w:r>
          </w:p>
        </w:tc>
        <w:tc>
          <w:tcPr>
            <w:tcW w:w="40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B48778" w14:textId="77777777" w:rsidR="00331C9F" w:rsidRPr="006D4BA1" w:rsidRDefault="00331C9F">
            <w:pPr>
              <w:spacing w:after="480"/>
              <w:rPr>
                <w:rFonts w:asciiTheme="majorBidi" w:hAnsiTheme="majorBidi" w:cstheme="majorBidi"/>
                <w:sz w:val="24"/>
                <w:szCs w:val="24"/>
              </w:rPr>
            </w:pPr>
            <w:r w:rsidRPr="006D4BA1">
              <w:rPr>
                <w:rStyle w:val="Strong"/>
                <w:rFonts w:asciiTheme="majorBidi" w:hAnsiTheme="majorBidi" w:cstheme="majorBidi"/>
                <w:sz w:val="24"/>
                <w:szCs w:val="24"/>
              </w:rPr>
              <w:t>Human Security Framework</w:t>
            </w:r>
          </w:p>
        </w:tc>
        <w:tc>
          <w:tcPr>
            <w:tcW w:w="49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BDFE42" w14:textId="77777777" w:rsidR="00331C9F" w:rsidRPr="006D4BA1" w:rsidRDefault="00331C9F">
            <w:pPr>
              <w:spacing w:after="480"/>
              <w:rPr>
                <w:rFonts w:asciiTheme="majorBidi" w:hAnsiTheme="majorBidi" w:cstheme="majorBidi"/>
                <w:sz w:val="24"/>
                <w:szCs w:val="24"/>
              </w:rPr>
            </w:pPr>
            <w:r w:rsidRPr="006D4BA1">
              <w:rPr>
                <w:rStyle w:val="Strong"/>
                <w:rFonts w:asciiTheme="majorBidi" w:hAnsiTheme="majorBidi" w:cstheme="majorBidi"/>
                <w:sz w:val="24"/>
                <w:szCs w:val="24"/>
              </w:rPr>
              <w:t>Feminist IR Theory</w:t>
            </w:r>
          </w:p>
        </w:tc>
      </w:tr>
      <w:tr w:rsidR="00331C9F" w:rsidRPr="006D4BA1" w14:paraId="36186DFD" w14:textId="77777777" w:rsidTr="00331C9F">
        <w:trP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E83763" w14:textId="77777777" w:rsidR="00331C9F" w:rsidRPr="006D4BA1" w:rsidRDefault="00331C9F">
            <w:pPr>
              <w:spacing w:after="480"/>
              <w:rPr>
                <w:rFonts w:asciiTheme="majorBidi" w:hAnsiTheme="majorBidi" w:cstheme="majorBidi"/>
                <w:sz w:val="24"/>
                <w:szCs w:val="24"/>
              </w:rPr>
            </w:pPr>
            <w:r w:rsidRPr="006D4BA1">
              <w:rPr>
                <w:rFonts w:asciiTheme="majorBidi" w:hAnsiTheme="majorBidi" w:cstheme="majorBidi"/>
                <w:b/>
                <w:bCs/>
                <w:sz w:val="24"/>
                <w:szCs w:val="24"/>
              </w:rPr>
              <w:t>Core Analytical Focus</w:t>
            </w:r>
          </w:p>
        </w:tc>
        <w:tc>
          <w:tcPr>
            <w:tcW w:w="40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0532E8" w14:textId="38A9E339" w:rsidR="00331C9F" w:rsidRPr="006D4BA1" w:rsidRDefault="00331C9F" w:rsidP="00331C9F">
            <w:pPr>
              <w:pStyle w:val="NormalWeb"/>
              <w:rPr>
                <w:rFonts w:asciiTheme="majorBidi" w:hAnsiTheme="majorBidi" w:cstheme="majorBidi"/>
              </w:rPr>
            </w:pPr>
            <w:r w:rsidRPr="006D4BA1">
              <w:rPr>
                <w:rFonts w:asciiTheme="majorBidi" w:hAnsiTheme="majorBidi" w:cstheme="majorBidi"/>
                <w:b/>
                <w:bCs/>
              </w:rPr>
              <w:t xml:space="preserve">Freedom from Fear &amp; Freedom from Want </w:t>
            </w:r>
            <w:r w:rsidRPr="006D4BA1">
              <w:rPr>
                <w:rFonts w:asciiTheme="majorBidi" w:hAnsiTheme="majorBidi" w:cstheme="majorBidi"/>
              </w:rPr>
              <w:t>Centers protection against direct physical violence, socio-economic displacement, and systemic vulnerability.</w:t>
            </w:r>
          </w:p>
        </w:tc>
        <w:tc>
          <w:tcPr>
            <w:tcW w:w="49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923C19" w14:textId="2322E882" w:rsidR="00331C9F" w:rsidRPr="006D4BA1" w:rsidRDefault="00331C9F" w:rsidP="00331C9F">
            <w:pPr>
              <w:pStyle w:val="NormalWeb"/>
              <w:rPr>
                <w:rFonts w:asciiTheme="majorBidi" w:hAnsiTheme="majorBidi" w:cstheme="majorBidi"/>
              </w:rPr>
            </w:pPr>
            <w:r w:rsidRPr="006D4BA1">
              <w:rPr>
                <w:rFonts w:asciiTheme="majorBidi" w:hAnsiTheme="majorBidi" w:cstheme="majorBidi"/>
                <w:b/>
                <w:bCs/>
              </w:rPr>
              <w:t xml:space="preserve">Gendered Power Dynamics &amp; Patriarchy </w:t>
            </w:r>
            <w:r w:rsidRPr="006D4BA1">
              <w:rPr>
                <w:rFonts w:asciiTheme="majorBidi" w:hAnsiTheme="majorBidi" w:cstheme="majorBidi"/>
              </w:rPr>
              <w:t>Exposes how militarism, masculine security logic, and patriarchal structures drive and sustain conflict.</w:t>
            </w:r>
          </w:p>
        </w:tc>
      </w:tr>
      <w:tr w:rsidR="00331C9F" w:rsidRPr="006D4BA1" w14:paraId="24C4646D" w14:textId="77777777" w:rsidTr="00331C9F">
        <w:trP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4053C2" w14:textId="77777777" w:rsidR="00331C9F" w:rsidRPr="006D4BA1" w:rsidRDefault="00331C9F">
            <w:pPr>
              <w:rPr>
                <w:rFonts w:asciiTheme="majorBidi" w:hAnsiTheme="majorBidi" w:cstheme="majorBidi"/>
                <w:sz w:val="24"/>
                <w:szCs w:val="24"/>
              </w:rPr>
            </w:pPr>
            <w:r w:rsidRPr="006D4BA1">
              <w:rPr>
                <w:rFonts w:asciiTheme="majorBidi" w:hAnsiTheme="majorBidi" w:cstheme="majorBidi"/>
                <w:b/>
                <w:bCs/>
                <w:sz w:val="24"/>
                <w:szCs w:val="24"/>
              </w:rPr>
              <w:t>Target of Intervention</w:t>
            </w:r>
          </w:p>
        </w:tc>
        <w:tc>
          <w:tcPr>
            <w:tcW w:w="40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5F7304" w14:textId="7B048B32" w:rsidR="00331C9F" w:rsidRPr="006D4BA1" w:rsidRDefault="00331C9F" w:rsidP="00331C9F">
            <w:pPr>
              <w:pStyle w:val="NormalWeb"/>
              <w:rPr>
                <w:rFonts w:asciiTheme="majorBidi" w:hAnsiTheme="majorBidi" w:cstheme="majorBidi"/>
                <w:b/>
                <w:bCs/>
              </w:rPr>
            </w:pPr>
            <w:r w:rsidRPr="006D4BA1">
              <w:rPr>
                <w:rFonts w:asciiTheme="majorBidi" w:hAnsiTheme="majorBidi" w:cstheme="majorBidi"/>
                <w:b/>
                <w:bCs/>
              </w:rPr>
              <w:t xml:space="preserve">Institutional Stabilization </w:t>
            </w:r>
            <w:r w:rsidRPr="006D4BA1">
              <w:rPr>
                <w:rFonts w:asciiTheme="majorBidi" w:hAnsiTheme="majorBidi" w:cstheme="majorBidi"/>
              </w:rPr>
              <w:t>Strengthens governance, human rights enforcement, and socio-economic support systems to build sustainable peace.</w:t>
            </w:r>
          </w:p>
        </w:tc>
        <w:tc>
          <w:tcPr>
            <w:tcW w:w="49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80E456" w14:textId="04AB5C9A" w:rsidR="00331C9F" w:rsidRPr="006D4BA1" w:rsidRDefault="00331C9F" w:rsidP="00331C9F">
            <w:pPr>
              <w:pStyle w:val="NormalWeb"/>
              <w:rPr>
                <w:rFonts w:asciiTheme="majorBidi" w:hAnsiTheme="majorBidi" w:cstheme="majorBidi"/>
              </w:rPr>
            </w:pPr>
            <w:r w:rsidRPr="006D4BA1">
              <w:rPr>
                <w:rFonts w:asciiTheme="majorBidi" w:hAnsiTheme="majorBidi" w:cstheme="majorBidi"/>
                <w:b/>
                <w:bCs/>
              </w:rPr>
              <w:t xml:space="preserve">Dismantling Militarism &amp; Structural Hierarchies    </w:t>
            </w:r>
            <w:r w:rsidRPr="006D4BA1">
              <w:rPr>
                <w:rFonts w:asciiTheme="majorBidi" w:hAnsiTheme="majorBidi" w:cstheme="majorBidi"/>
              </w:rPr>
              <w:t>Challenges militarized statecraft, redefines security around bodily safety, and dismantles gendered power balances.</w:t>
            </w:r>
          </w:p>
        </w:tc>
      </w:tr>
      <w:tr w:rsidR="00331C9F" w:rsidRPr="006D4BA1" w14:paraId="57D12173" w14:textId="77777777" w:rsidTr="00331C9F">
        <w:trPr>
          <w:tblCellSpacing w:w="15" w:type="dxa"/>
        </w:trPr>
        <w:tc>
          <w:tcPr>
            <w:tcW w:w="208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4D7162" w14:textId="77777777" w:rsidR="00331C9F" w:rsidRPr="006D4BA1" w:rsidRDefault="00331C9F">
            <w:pPr>
              <w:rPr>
                <w:rFonts w:asciiTheme="majorBidi" w:hAnsiTheme="majorBidi" w:cstheme="majorBidi"/>
                <w:sz w:val="24"/>
                <w:szCs w:val="24"/>
              </w:rPr>
            </w:pPr>
            <w:r w:rsidRPr="006D4BA1">
              <w:rPr>
                <w:rFonts w:asciiTheme="majorBidi" w:hAnsiTheme="majorBidi" w:cstheme="majorBidi"/>
                <w:b/>
                <w:bCs/>
                <w:sz w:val="24"/>
                <w:szCs w:val="24"/>
              </w:rPr>
              <w:t>Operational Mechanism</w:t>
            </w:r>
          </w:p>
        </w:tc>
        <w:tc>
          <w:tcPr>
            <w:tcW w:w="40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D8CBEB" w14:textId="488E9E12" w:rsidR="00331C9F" w:rsidRPr="006D4BA1" w:rsidRDefault="00331C9F" w:rsidP="00331C9F">
            <w:pPr>
              <w:pStyle w:val="NormalWeb"/>
              <w:rPr>
                <w:rFonts w:asciiTheme="majorBidi" w:hAnsiTheme="majorBidi" w:cstheme="majorBidi"/>
                <w:b/>
                <w:bCs/>
              </w:rPr>
            </w:pPr>
            <w:r w:rsidRPr="006D4BA1">
              <w:rPr>
                <w:rFonts w:asciiTheme="majorBidi" w:hAnsiTheme="majorBidi" w:cstheme="majorBidi"/>
                <w:b/>
                <w:bCs/>
              </w:rPr>
              <w:t xml:space="preserve">WPS Agenda &amp; Policy Reforms  </w:t>
            </w:r>
            <w:r w:rsidRPr="006D4BA1">
              <w:rPr>
                <w:rFonts w:asciiTheme="majorBidi" w:hAnsiTheme="majorBidi" w:cstheme="majorBidi"/>
              </w:rPr>
              <w:t>Leverages state and UN-level policy tools (e.g., Women, Peace, and Security framework, development aid, institutional capacity-building).</w:t>
            </w:r>
          </w:p>
        </w:tc>
        <w:tc>
          <w:tcPr>
            <w:tcW w:w="491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4C5121" w14:textId="0E567443" w:rsidR="00331C9F" w:rsidRPr="006D4BA1" w:rsidRDefault="00331C9F" w:rsidP="00331C9F">
            <w:pPr>
              <w:pStyle w:val="NormalWeb"/>
              <w:rPr>
                <w:rFonts w:asciiTheme="majorBidi" w:hAnsiTheme="majorBidi" w:cstheme="majorBidi"/>
              </w:rPr>
            </w:pPr>
            <w:r w:rsidRPr="006D4BA1">
              <w:rPr>
                <w:rFonts w:asciiTheme="majorBidi" w:hAnsiTheme="majorBidi" w:cstheme="majorBidi"/>
                <w:b/>
                <w:bCs/>
              </w:rPr>
              <w:t xml:space="preserve">Grassroots Inclusion &amp; Political Agency </w:t>
            </w:r>
            <w:r w:rsidRPr="006D4BA1">
              <w:rPr>
                <w:rFonts w:asciiTheme="majorBidi" w:hAnsiTheme="majorBidi" w:cstheme="majorBidi"/>
              </w:rPr>
              <w:t>Centers local women peacebuilders, grassroot movements, and marginalized voices as active agents rather than passive victims.</w:t>
            </w:r>
          </w:p>
        </w:tc>
      </w:tr>
    </w:tbl>
    <w:p w14:paraId="49B73243" w14:textId="77777777" w:rsidR="00F938DE" w:rsidRPr="00F938DE" w:rsidRDefault="00F938DE" w:rsidP="00F938DE">
      <w:pPr>
        <w:numPr>
          <w:ilvl w:val="0"/>
          <w:numId w:val="33"/>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lastRenderedPageBreak/>
        <w:t>Complementary Strengths in Practice:</w:t>
      </w:r>
      <w:r w:rsidRPr="00F938DE">
        <w:rPr>
          <w:rFonts w:asciiTheme="majorBidi" w:eastAsia="Times New Roman" w:hAnsiTheme="majorBidi" w:cstheme="majorBidi"/>
          <w:sz w:val="24"/>
          <w:szCs w:val="24"/>
        </w:rPr>
        <w:t xml:space="preserve"> Human Security provides policy tools (e.g., the UN's Women, Peace, and Security agenda) that bring feminist concerns into institutional frameworks.</w:t>
      </w:r>
    </w:p>
    <w:p w14:paraId="1410185F" w14:textId="77777777" w:rsidR="00F938DE" w:rsidRPr="00F938DE" w:rsidRDefault="00F938DE" w:rsidP="00F938DE">
      <w:pPr>
        <w:numPr>
          <w:ilvl w:val="0"/>
          <w:numId w:val="33"/>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Feminist Critique of Security Policy:</w:t>
      </w:r>
      <w:r w:rsidRPr="00F938DE">
        <w:rPr>
          <w:rFonts w:asciiTheme="majorBidi" w:eastAsia="Times New Roman" w:hAnsiTheme="majorBidi" w:cstheme="majorBidi"/>
          <w:sz w:val="24"/>
          <w:szCs w:val="24"/>
        </w:rPr>
        <w:t xml:space="preserve"> Feminist scholars argue that top-down human security initiatives often treat women merely as passive victims needing protection, rather than political actors driving post-conflict rebuilding.</w:t>
      </w:r>
    </w:p>
    <w:p w14:paraId="4883BACB" w14:textId="4A59F1B5" w:rsidR="00F938DE" w:rsidRPr="00F938DE" w:rsidRDefault="00122ECD" w:rsidP="00F938DE">
      <w:pPr>
        <w:spacing w:before="100" w:beforeAutospacing="1" w:after="100" w:afterAutospacing="1"/>
        <w:outlineLvl w:val="2"/>
        <w:rPr>
          <w:rFonts w:asciiTheme="majorBidi" w:eastAsia="Times New Roman" w:hAnsiTheme="majorBidi" w:cstheme="majorBidi"/>
          <w:b/>
          <w:bCs/>
          <w:sz w:val="32"/>
          <w:szCs w:val="32"/>
        </w:rPr>
      </w:pPr>
      <w:r w:rsidRPr="00122ECD">
        <w:rPr>
          <w:rFonts w:asciiTheme="majorBidi" w:eastAsia="Times New Roman" w:hAnsiTheme="majorBidi" w:cstheme="majorBidi"/>
          <w:b/>
          <w:bCs/>
          <w:sz w:val="32"/>
          <w:szCs w:val="32"/>
        </w:rPr>
        <w:t>9</w:t>
      </w:r>
      <w:r w:rsidR="00F938DE" w:rsidRPr="00F938DE">
        <w:rPr>
          <w:rFonts w:asciiTheme="majorBidi" w:eastAsia="Times New Roman" w:hAnsiTheme="majorBidi" w:cstheme="majorBidi"/>
          <w:b/>
          <w:bCs/>
          <w:sz w:val="32"/>
          <w:szCs w:val="32"/>
        </w:rPr>
        <w:t>. Postcolonial Critique of International Institutions: The UNSC and IMF</w:t>
      </w:r>
    </w:p>
    <w:p w14:paraId="00A1E620" w14:textId="77777777" w:rsidR="00F938DE" w:rsidRPr="00F938DE" w:rsidRDefault="00F938DE" w:rsidP="00F938DE">
      <w:p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sz w:val="24"/>
          <w:szCs w:val="24"/>
        </w:rPr>
        <w:t>Postcolonial theory shows how international organizations reflect and reinforce historical colonial power dynamics through structural design and knowledge production.</w:t>
      </w:r>
    </w:p>
    <w:p w14:paraId="0811D41E" w14:textId="77777777" w:rsidR="00F938DE" w:rsidRPr="00F938DE" w:rsidRDefault="00F938DE" w:rsidP="00F938DE">
      <w:pPr>
        <w:spacing w:before="100" w:beforeAutospacing="1" w:after="100" w:afterAutospacing="1"/>
        <w:outlineLvl w:val="2"/>
        <w:rPr>
          <w:rFonts w:asciiTheme="majorBidi" w:eastAsia="Times New Roman" w:hAnsiTheme="majorBidi" w:cstheme="majorBidi"/>
          <w:b/>
          <w:bCs/>
          <w:sz w:val="24"/>
          <w:szCs w:val="24"/>
        </w:rPr>
      </w:pPr>
      <w:r w:rsidRPr="00F938DE">
        <w:rPr>
          <w:rFonts w:asciiTheme="majorBidi" w:eastAsia="Times New Roman" w:hAnsiTheme="majorBidi" w:cstheme="majorBidi"/>
          <w:b/>
          <w:bCs/>
          <w:sz w:val="24"/>
          <w:szCs w:val="24"/>
        </w:rPr>
        <w:t>Postcolonial Institutional Critique Matrix</w:t>
      </w:r>
    </w:p>
    <w:tbl>
      <w:tblPr>
        <w:tblW w:w="11624" w:type="dxa"/>
        <w:tblCellSpacing w:w="15" w:type="dxa"/>
        <w:tblInd w:w="-1142" w:type="dxa"/>
        <w:tblCellMar>
          <w:top w:w="15" w:type="dxa"/>
          <w:left w:w="15" w:type="dxa"/>
          <w:bottom w:w="15" w:type="dxa"/>
          <w:right w:w="15" w:type="dxa"/>
        </w:tblCellMar>
        <w:tblLook w:val="04A0" w:firstRow="1" w:lastRow="0" w:firstColumn="1" w:lastColumn="0" w:noHBand="0" w:noVBand="1"/>
      </w:tblPr>
      <w:tblGrid>
        <w:gridCol w:w="1843"/>
        <w:gridCol w:w="5245"/>
        <w:gridCol w:w="4536"/>
      </w:tblGrid>
      <w:tr w:rsidR="006D4BA1" w:rsidRPr="006D4BA1" w14:paraId="4972160E" w14:textId="77777777" w:rsidTr="006178D7">
        <w:trPr>
          <w:tblHeader/>
          <w:tblCellSpacing w:w="15" w:type="dxa"/>
        </w:trPr>
        <w:tc>
          <w:tcPr>
            <w:tcW w:w="179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03461C" w14:textId="77777777" w:rsidR="00F938DE" w:rsidRPr="006D4BA1" w:rsidRDefault="00F938DE" w:rsidP="00F938DE">
            <w:pPr>
              <w:pStyle w:val="NoSpacing"/>
              <w:rPr>
                <w:rFonts w:asciiTheme="majorBidi" w:hAnsiTheme="majorBidi" w:cstheme="majorBidi"/>
                <w:b/>
                <w:bCs/>
                <w:sz w:val="24"/>
                <w:szCs w:val="24"/>
              </w:rPr>
            </w:pPr>
            <w:r w:rsidRPr="006D4BA1">
              <w:rPr>
                <w:rFonts w:asciiTheme="majorBidi" w:hAnsiTheme="majorBidi" w:cstheme="majorBidi"/>
                <w:b/>
                <w:bCs/>
                <w:sz w:val="24"/>
                <w:szCs w:val="24"/>
              </w:rPr>
              <w:t>Institutional Dimension</w:t>
            </w:r>
          </w:p>
        </w:tc>
        <w:tc>
          <w:tcPr>
            <w:tcW w:w="52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A57764" w14:textId="77777777" w:rsidR="00F938DE" w:rsidRPr="006D4BA1" w:rsidRDefault="00F938DE" w:rsidP="00F938DE">
            <w:pPr>
              <w:pStyle w:val="NoSpacing"/>
              <w:rPr>
                <w:rFonts w:asciiTheme="majorBidi" w:hAnsiTheme="majorBidi" w:cstheme="majorBidi"/>
                <w:b/>
                <w:bCs/>
                <w:sz w:val="24"/>
                <w:szCs w:val="24"/>
              </w:rPr>
            </w:pPr>
            <w:r w:rsidRPr="006D4BA1">
              <w:rPr>
                <w:rFonts w:asciiTheme="majorBidi" w:hAnsiTheme="majorBidi" w:cstheme="majorBidi"/>
                <w:b/>
                <w:bCs/>
                <w:sz w:val="24"/>
                <w:szCs w:val="24"/>
              </w:rPr>
              <w:t>United Nations Security Council (UNSC)</w:t>
            </w:r>
          </w:p>
        </w:tc>
        <w:tc>
          <w:tcPr>
            <w:tcW w:w="4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E1FB4B" w14:textId="77777777" w:rsidR="00F938DE" w:rsidRPr="006D4BA1" w:rsidRDefault="00F938DE" w:rsidP="00F938DE">
            <w:pPr>
              <w:pStyle w:val="NoSpacing"/>
              <w:rPr>
                <w:rFonts w:asciiTheme="majorBidi" w:hAnsiTheme="majorBidi" w:cstheme="majorBidi"/>
                <w:b/>
                <w:bCs/>
                <w:sz w:val="24"/>
                <w:szCs w:val="24"/>
              </w:rPr>
            </w:pPr>
            <w:r w:rsidRPr="006D4BA1">
              <w:rPr>
                <w:rFonts w:asciiTheme="majorBidi" w:hAnsiTheme="majorBidi" w:cstheme="majorBidi"/>
                <w:b/>
                <w:bCs/>
                <w:sz w:val="24"/>
                <w:szCs w:val="24"/>
              </w:rPr>
              <w:t>International Monetary Fund (IMF)</w:t>
            </w:r>
          </w:p>
        </w:tc>
      </w:tr>
      <w:tr w:rsidR="006D4BA1" w:rsidRPr="006D4BA1" w14:paraId="17B6DB39" w14:textId="77777777" w:rsidTr="006178D7">
        <w:trPr>
          <w:tblCellSpacing w:w="15" w:type="dxa"/>
        </w:trPr>
        <w:tc>
          <w:tcPr>
            <w:tcW w:w="179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C4FE90" w14:textId="77777777" w:rsidR="00F938DE" w:rsidRPr="006D4BA1" w:rsidRDefault="00F938DE" w:rsidP="00F938DE">
            <w:pPr>
              <w:pStyle w:val="NoSpacing"/>
              <w:rPr>
                <w:rFonts w:asciiTheme="majorBidi" w:hAnsiTheme="majorBidi" w:cstheme="majorBidi"/>
                <w:b/>
                <w:bCs/>
                <w:sz w:val="24"/>
                <w:szCs w:val="24"/>
              </w:rPr>
            </w:pPr>
            <w:r w:rsidRPr="006D4BA1">
              <w:rPr>
                <w:rFonts w:asciiTheme="majorBidi" w:hAnsiTheme="majorBidi" w:cstheme="majorBidi"/>
                <w:b/>
                <w:bCs/>
                <w:sz w:val="24"/>
                <w:szCs w:val="24"/>
              </w:rPr>
              <w:t>Primary Power Structure</w:t>
            </w:r>
          </w:p>
        </w:tc>
        <w:tc>
          <w:tcPr>
            <w:tcW w:w="52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36F80F" w14:textId="23CEC0B8" w:rsidR="00F938DE" w:rsidRPr="006D4BA1" w:rsidRDefault="00F938DE" w:rsidP="006178D7">
            <w:pPr>
              <w:pStyle w:val="NoSpacing"/>
              <w:rPr>
                <w:rFonts w:asciiTheme="majorBidi" w:hAnsiTheme="majorBidi" w:cstheme="majorBidi"/>
                <w:sz w:val="24"/>
                <w:szCs w:val="24"/>
              </w:rPr>
            </w:pPr>
            <w:r w:rsidRPr="006D4BA1">
              <w:rPr>
                <w:rFonts w:asciiTheme="majorBidi" w:hAnsiTheme="majorBidi" w:cstheme="majorBidi"/>
                <w:sz w:val="24"/>
                <w:szCs w:val="24"/>
              </w:rPr>
              <w:t>Imperial P5 Veto Architecture</w:t>
            </w:r>
          </w:p>
          <w:p w14:paraId="55D71D35"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Institutionalizes 1945 post-WWII victory hierarchies, granting permanent veto power to five states while excluding entire regions (such as Africa and Latin America) from permanent seating.</w:t>
            </w:r>
          </w:p>
        </w:tc>
        <w:tc>
          <w:tcPr>
            <w:tcW w:w="4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AD0747" w14:textId="79B3CA17" w:rsidR="00F938DE" w:rsidRPr="006D4BA1" w:rsidRDefault="00F938DE" w:rsidP="006178D7">
            <w:pPr>
              <w:pStyle w:val="NoSpacing"/>
              <w:rPr>
                <w:rFonts w:asciiTheme="majorBidi" w:hAnsiTheme="majorBidi" w:cstheme="majorBidi"/>
                <w:sz w:val="24"/>
                <w:szCs w:val="24"/>
              </w:rPr>
            </w:pPr>
            <w:r w:rsidRPr="006D4BA1">
              <w:rPr>
                <w:rFonts w:asciiTheme="majorBidi" w:hAnsiTheme="majorBidi" w:cstheme="majorBidi"/>
                <w:sz w:val="24"/>
                <w:szCs w:val="24"/>
              </w:rPr>
              <w:t>Weighted Voting Systems (G7 Dominance)</w:t>
            </w:r>
          </w:p>
          <w:p w14:paraId="45FD0BB4"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Allocates decision-making power based on capital quotas rather than state equality, granting the US and European nations effective veto power over global economic policies.</w:t>
            </w:r>
          </w:p>
        </w:tc>
      </w:tr>
      <w:tr w:rsidR="006D4BA1" w:rsidRPr="006D4BA1" w14:paraId="40757B45" w14:textId="77777777" w:rsidTr="006178D7">
        <w:trPr>
          <w:tblCellSpacing w:w="15" w:type="dxa"/>
        </w:trPr>
        <w:tc>
          <w:tcPr>
            <w:tcW w:w="179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04E396" w14:textId="77777777" w:rsidR="00F938DE" w:rsidRPr="006D4BA1" w:rsidRDefault="00F938DE" w:rsidP="00F938DE">
            <w:pPr>
              <w:pStyle w:val="NoSpacing"/>
              <w:rPr>
                <w:rFonts w:asciiTheme="majorBidi" w:hAnsiTheme="majorBidi" w:cstheme="majorBidi"/>
                <w:b/>
                <w:bCs/>
                <w:sz w:val="24"/>
                <w:szCs w:val="24"/>
              </w:rPr>
            </w:pPr>
            <w:r w:rsidRPr="006D4BA1">
              <w:rPr>
                <w:rFonts w:asciiTheme="majorBidi" w:hAnsiTheme="majorBidi" w:cstheme="majorBidi"/>
                <w:b/>
                <w:bCs/>
                <w:sz w:val="24"/>
                <w:szCs w:val="24"/>
              </w:rPr>
              <w:t>Coloniality Mechanism</w:t>
            </w:r>
          </w:p>
        </w:tc>
        <w:tc>
          <w:tcPr>
            <w:tcW w:w="52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9BCF14"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Sovereign Inequality &amp; Selective Intervention</w:t>
            </w:r>
          </w:p>
          <w:p w14:paraId="1370A226"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Maintains a two-tiered international order where Western powers enforce norms (e.g., Responsibility to Protect) primarily in the Global South, while P5 members remain immune due to the veto.</w:t>
            </w:r>
          </w:p>
        </w:tc>
        <w:tc>
          <w:tcPr>
            <w:tcW w:w="4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094666"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Epistemic Colonialism &amp; SAP Conditionality</w:t>
            </w:r>
          </w:p>
          <w:p w14:paraId="76A8B004"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Imposes Western neoliberal economic models via Structural Adjustment Programs (SAPs), enforcing fiscal austerity, deregulation, and market opening as conditions for financial aid.</w:t>
            </w:r>
          </w:p>
        </w:tc>
      </w:tr>
      <w:tr w:rsidR="006D4BA1" w:rsidRPr="006D4BA1" w14:paraId="66F01790" w14:textId="77777777" w:rsidTr="006178D7">
        <w:trPr>
          <w:tblCellSpacing w:w="15" w:type="dxa"/>
        </w:trPr>
        <w:tc>
          <w:tcPr>
            <w:tcW w:w="179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06DC9B" w14:textId="77777777" w:rsidR="00F938DE" w:rsidRPr="006D4BA1" w:rsidRDefault="00F938DE" w:rsidP="00F938DE">
            <w:pPr>
              <w:pStyle w:val="NoSpacing"/>
              <w:rPr>
                <w:rFonts w:asciiTheme="majorBidi" w:hAnsiTheme="majorBidi" w:cstheme="majorBidi"/>
                <w:b/>
                <w:bCs/>
                <w:sz w:val="24"/>
                <w:szCs w:val="24"/>
              </w:rPr>
            </w:pPr>
            <w:r w:rsidRPr="006D4BA1">
              <w:rPr>
                <w:rFonts w:asciiTheme="majorBidi" w:hAnsiTheme="majorBidi" w:cstheme="majorBidi"/>
                <w:b/>
                <w:bCs/>
                <w:sz w:val="24"/>
                <w:szCs w:val="24"/>
              </w:rPr>
              <w:t>Postcolonial Impact</w:t>
            </w:r>
          </w:p>
        </w:tc>
        <w:tc>
          <w:tcPr>
            <w:tcW w:w="521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5CD1F3" w14:textId="015CBBB0" w:rsidR="00F938DE" w:rsidRPr="006D4BA1" w:rsidRDefault="00F938DE" w:rsidP="006178D7">
            <w:pPr>
              <w:pStyle w:val="NoSpacing"/>
              <w:rPr>
                <w:rFonts w:asciiTheme="majorBidi" w:hAnsiTheme="majorBidi" w:cstheme="majorBidi"/>
                <w:sz w:val="24"/>
                <w:szCs w:val="24"/>
              </w:rPr>
            </w:pPr>
            <w:r w:rsidRPr="006D4BA1">
              <w:rPr>
                <w:rFonts w:asciiTheme="majorBidi" w:hAnsiTheme="majorBidi" w:cstheme="majorBidi"/>
                <w:b/>
                <w:bCs/>
                <w:sz w:val="24"/>
                <w:szCs w:val="24"/>
              </w:rPr>
              <w:t>Subordination of Global South Agency</w:t>
            </w:r>
            <w:r w:rsidRPr="006D4BA1">
              <w:rPr>
                <w:rFonts w:asciiTheme="majorBidi" w:hAnsiTheme="majorBidi" w:cstheme="majorBidi"/>
                <w:sz w:val="24"/>
                <w:szCs w:val="24"/>
              </w:rPr>
              <w:br/>
              <w:t>Restricts former colonies to non-permanent, temporary seats, treating them as sites of intervention rather than equal co-architects of global security policy.</w:t>
            </w:r>
          </w:p>
        </w:tc>
        <w:tc>
          <w:tcPr>
            <w:tcW w:w="4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04A67A" w14:textId="5D98EEA1" w:rsidR="00F938DE" w:rsidRPr="006D4BA1" w:rsidRDefault="00F938DE" w:rsidP="006178D7">
            <w:pPr>
              <w:pStyle w:val="NoSpacing"/>
              <w:rPr>
                <w:rFonts w:asciiTheme="majorBidi" w:hAnsiTheme="majorBidi" w:cstheme="majorBidi"/>
                <w:b/>
                <w:bCs/>
                <w:sz w:val="24"/>
                <w:szCs w:val="24"/>
              </w:rPr>
            </w:pPr>
            <w:r w:rsidRPr="006D4BA1">
              <w:rPr>
                <w:rFonts w:asciiTheme="majorBidi" w:hAnsiTheme="majorBidi" w:cstheme="majorBidi"/>
                <w:b/>
                <w:bCs/>
                <w:sz w:val="24"/>
                <w:szCs w:val="24"/>
              </w:rPr>
              <w:t>Structural Debt &amp; Dependency</w:t>
            </w:r>
          </w:p>
          <w:p w14:paraId="167378DB" w14:textId="77777777" w:rsidR="00F938DE" w:rsidRPr="006D4BA1" w:rsidRDefault="00F938DE" w:rsidP="00F938DE">
            <w:pPr>
              <w:pStyle w:val="NoSpacing"/>
              <w:rPr>
                <w:rFonts w:asciiTheme="majorBidi" w:hAnsiTheme="majorBidi" w:cstheme="majorBidi"/>
                <w:sz w:val="24"/>
                <w:szCs w:val="24"/>
              </w:rPr>
            </w:pPr>
            <w:r w:rsidRPr="006D4BA1">
              <w:rPr>
                <w:rFonts w:asciiTheme="majorBidi" w:hAnsiTheme="majorBidi" w:cstheme="majorBidi"/>
                <w:sz w:val="24"/>
                <w:szCs w:val="24"/>
              </w:rPr>
              <w:t>Restricts national policy autonomy across the Global South, creating cycles of perpetual debt that lock developing nations into primary commodity extraction for core markets.</w:t>
            </w:r>
          </w:p>
        </w:tc>
      </w:tr>
    </w:tbl>
    <w:p w14:paraId="1F93BA06" w14:textId="77777777" w:rsidR="00F938DE" w:rsidRPr="00F938DE" w:rsidRDefault="00F938DE" w:rsidP="00F938DE">
      <w:pPr>
        <w:spacing w:before="100" w:beforeAutospacing="1" w:after="100" w:afterAutospacing="1"/>
        <w:outlineLvl w:val="3"/>
        <w:rPr>
          <w:rFonts w:asciiTheme="majorBidi" w:eastAsia="Times New Roman" w:hAnsiTheme="majorBidi" w:cstheme="majorBidi"/>
          <w:b/>
          <w:bCs/>
          <w:sz w:val="24"/>
          <w:szCs w:val="24"/>
        </w:rPr>
      </w:pPr>
      <w:r w:rsidRPr="00F938DE">
        <w:rPr>
          <w:rFonts w:asciiTheme="majorBidi" w:eastAsia="Times New Roman" w:hAnsiTheme="majorBidi" w:cstheme="majorBidi"/>
          <w:b/>
          <w:bCs/>
          <w:sz w:val="24"/>
          <w:szCs w:val="24"/>
        </w:rPr>
        <w:t>The UN Security Council (UNSC)</w:t>
      </w:r>
    </w:p>
    <w:p w14:paraId="0154486F" w14:textId="77777777" w:rsidR="00F938DE" w:rsidRPr="00F938DE" w:rsidRDefault="00F938DE" w:rsidP="00F938DE">
      <w:pPr>
        <w:numPr>
          <w:ilvl w:val="0"/>
          <w:numId w:val="34"/>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lastRenderedPageBreak/>
        <w:t>Imperial Structure:</w:t>
      </w:r>
      <w:r w:rsidRPr="00F938DE">
        <w:rPr>
          <w:rFonts w:asciiTheme="majorBidi" w:eastAsia="Times New Roman" w:hAnsiTheme="majorBidi" w:cstheme="majorBidi"/>
          <w:sz w:val="24"/>
          <w:szCs w:val="24"/>
        </w:rPr>
        <w:t xml:space="preserve"> The permanent membership (P5) with veto power formalizes a 1945 post-WWII imperial hierarchy. Entire continents—most notably Africa and Latin America—have no permanent representation.</w:t>
      </w:r>
    </w:p>
    <w:p w14:paraId="196B6C0B" w14:textId="77777777" w:rsidR="00F938DE" w:rsidRPr="00F938DE" w:rsidRDefault="00F938DE" w:rsidP="00F938DE">
      <w:pPr>
        <w:numPr>
          <w:ilvl w:val="0"/>
          <w:numId w:val="34"/>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Sovereignty Inequity:</w:t>
      </w:r>
      <w:r w:rsidRPr="00F938DE">
        <w:rPr>
          <w:rFonts w:asciiTheme="majorBidi" w:eastAsia="Times New Roman" w:hAnsiTheme="majorBidi" w:cstheme="majorBidi"/>
          <w:sz w:val="24"/>
          <w:szCs w:val="24"/>
        </w:rPr>
        <w:t xml:space="preserve"> The UNSC enforces a two-tiered system where Western powers use intervention frameworks (like Responsibility to Protect) primarily in the Global South, while P5 members remain immune from similar oversight due to the veto.</w:t>
      </w:r>
    </w:p>
    <w:p w14:paraId="491CB1CC" w14:textId="77777777" w:rsidR="00F938DE" w:rsidRPr="00F938DE" w:rsidRDefault="00F938DE" w:rsidP="00F938DE">
      <w:pPr>
        <w:spacing w:before="100" w:beforeAutospacing="1" w:after="100" w:afterAutospacing="1"/>
        <w:outlineLvl w:val="3"/>
        <w:rPr>
          <w:rFonts w:asciiTheme="majorBidi" w:eastAsia="Times New Roman" w:hAnsiTheme="majorBidi" w:cstheme="majorBidi"/>
          <w:b/>
          <w:bCs/>
          <w:sz w:val="24"/>
          <w:szCs w:val="24"/>
        </w:rPr>
      </w:pPr>
      <w:r w:rsidRPr="00F938DE">
        <w:rPr>
          <w:rFonts w:asciiTheme="majorBidi" w:eastAsia="Times New Roman" w:hAnsiTheme="majorBidi" w:cstheme="majorBidi"/>
          <w:b/>
          <w:bCs/>
          <w:sz w:val="24"/>
          <w:szCs w:val="24"/>
        </w:rPr>
        <w:t>The International Monetary Fund (IMF)</w:t>
      </w:r>
    </w:p>
    <w:p w14:paraId="6CDDAF3E" w14:textId="77777777" w:rsidR="00F938DE" w:rsidRPr="00F938DE" w:rsidRDefault="00F938DE" w:rsidP="00F938DE">
      <w:pPr>
        <w:numPr>
          <w:ilvl w:val="0"/>
          <w:numId w:val="35"/>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Weighted Voting Power:</w:t>
      </w:r>
      <w:r w:rsidRPr="00F938DE">
        <w:rPr>
          <w:rFonts w:asciiTheme="majorBidi" w:eastAsia="Times New Roman" w:hAnsiTheme="majorBidi" w:cstheme="majorBidi"/>
          <w:sz w:val="24"/>
          <w:szCs w:val="24"/>
        </w:rPr>
        <w:t xml:space="preserve"> Voting shares are tied to financial quotas, granting the US and European nations effective veto power over key economic policies affecting developing nations.</w:t>
      </w:r>
    </w:p>
    <w:p w14:paraId="0F98D4AA" w14:textId="7F9B29B8" w:rsidR="00F938DE" w:rsidRPr="00F938DE" w:rsidRDefault="00F938DE" w:rsidP="00F938DE">
      <w:pPr>
        <w:numPr>
          <w:ilvl w:val="0"/>
          <w:numId w:val="35"/>
        </w:numPr>
        <w:spacing w:before="100" w:beforeAutospacing="1" w:after="100" w:afterAutospacing="1"/>
        <w:rPr>
          <w:rFonts w:asciiTheme="majorBidi" w:eastAsia="Times New Roman" w:hAnsiTheme="majorBidi" w:cstheme="majorBidi"/>
          <w:sz w:val="24"/>
          <w:szCs w:val="24"/>
        </w:rPr>
      </w:pPr>
      <w:r w:rsidRPr="00F938DE">
        <w:rPr>
          <w:rFonts w:asciiTheme="majorBidi" w:eastAsia="Times New Roman" w:hAnsiTheme="majorBidi" w:cstheme="majorBidi"/>
          <w:b/>
          <w:bCs/>
          <w:sz w:val="24"/>
          <w:szCs w:val="24"/>
        </w:rPr>
        <w:t>Epistemic Imperialism:</w:t>
      </w:r>
      <w:r w:rsidRPr="00F938DE">
        <w:rPr>
          <w:rFonts w:asciiTheme="majorBidi" w:eastAsia="Times New Roman" w:hAnsiTheme="majorBidi" w:cstheme="majorBidi"/>
          <w:sz w:val="24"/>
          <w:szCs w:val="24"/>
        </w:rPr>
        <w:t xml:space="preserve"> Through Structural Adjustment Programs (SAPs) and loan conditions, the IMF enforces neoliberal economic models across the Global South. </w:t>
      </w:r>
      <w:r w:rsidR="0096162E" w:rsidRPr="00F938DE">
        <w:rPr>
          <w:rFonts w:asciiTheme="majorBidi" w:eastAsia="Times New Roman" w:hAnsiTheme="majorBidi" w:cstheme="majorBidi"/>
          <w:sz w:val="24"/>
          <w:szCs w:val="24"/>
        </w:rPr>
        <w:t>This dynamic limit</w:t>
      </w:r>
      <w:r w:rsidRPr="00F938DE">
        <w:rPr>
          <w:rFonts w:asciiTheme="majorBidi" w:eastAsia="Times New Roman" w:hAnsiTheme="majorBidi" w:cstheme="majorBidi"/>
          <w:sz w:val="24"/>
          <w:szCs w:val="24"/>
        </w:rPr>
        <w:t xml:space="preserve"> local economic autonomy and perpetuates fiscal dependency on Western markets.</w:t>
      </w:r>
    </w:p>
    <w:p w14:paraId="7FAC4B26" w14:textId="7C3F3E65" w:rsidR="00331C9F" w:rsidRPr="00331C9F" w:rsidRDefault="00331C9F" w:rsidP="00331C9F">
      <w:pPr>
        <w:spacing w:before="100" w:beforeAutospacing="1" w:after="100" w:afterAutospacing="1"/>
        <w:outlineLvl w:val="2"/>
        <w:rPr>
          <w:rFonts w:asciiTheme="majorBidi" w:eastAsia="Times New Roman" w:hAnsiTheme="majorBidi" w:cstheme="majorBidi"/>
          <w:b/>
          <w:bCs/>
          <w:sz w:val="24"/>
          <w:szCs w:val="24"/>
        </w:rPr>
      </w:pPr>
      <w:r w:rsidRPr="00331C9F">
        <w:rPr>
          <w:rFonts w:asciiTheme="majorBidi" w:eastAsia="Times New Roman" w:hAnsiTheme="majorBidi" w:cstheme="majorBidi"/>
          <w:b/>
          <w:bCs/>
          <w:sz w:val="24"/>
          <w:szCs w:val="24"/>
        </w:rPr>
        <w:t>Analysis 1: China’s Belt and Road Initiative Through World-Systems Theory</w:t>
      </w:r>
    </w:p>
    <w:p w14:paraId="47425D15" w14:textId="77777777" w:rsidR="00331C9F" w:rsidRPr="00331C9F" w:rsidRDefault="00331C9F" w:rsidP="00331C9F">
      <w:pPr>
        <w:spacing w:before="100" w:beforeAutospacing="1" w:after="100" w:afterAutospacing="1"/>
        <w:outlineLvl w:val="2"/>
        <w:rPr>
          <w:rFonts w:asciiTheme="majorBidi" w:eastAsia="Times New Roman" w:hAnsiTheme="majorBidi" w:cstheme="majorBidi"/>
          <w:b/>
          <w:bCs/>
          <w:sz w:val="24"/>
          <w:szCs w:val="24"/>
        </w:rPr>
      </w:pPr>
      <w:r w:rsidRPr="00331C9F">
        <w:rPr>
          <w:rFonts w:asciiTheme="majorBidi" w:eastAsia="Times New Roman" w:hAnsiTheme="majorBidi" w:cstheme="majorBidi"/>
          <w:b/>
          <w:bCs/>
          <w:sz w:val="24"/>
          <w:szCs w:val="24"/>
        </w:rPr>
        <w:t>World-Systems Analysis of China’s Belt and Road Initiative (BRI)</w:t>
      </w:r>
    </w:p>
    <w:tbl>
      <w:tblPr>
        <w:tblW w:w="11483" w:type="dxa"/>
        <w:tblCellSpacing w:w="15" w:type="dxa"/>
        <w:tblInd w:w="-1001" w:type="dxa"/>
        <w:tblCellMar>
          <w:top w:w="15" w:type="dxa"/>
          <w:left w:w="15" w:type="dxa"/>
          <w:bottom w:w="15" w:type="dxa"/>
          <w:right w:w="15" w:type="dxa"/>
        </w:tblCellMar>
        <w:tblLook w:val="04A0" w:firstRow="1" w:lastRow="0" w:firstColumn="1" w:lastColumn="0" w:noHBand="0" w:noVBand="1"/>
      </w:tblPr>
      <w:tblGrid>
        <w:gridCol w:w="2269"/>
        <w:gridCol w:w="2693"/>
        <w:gridCol w:w="6521"/>
      </w:tblGrid>
      <w:tr w:rsidR="006D4BA1" w:rsidRPr="006D4BA1" w14:paraId="026E8586" w14:textId="77777777" w:rsidTr="0096162E">
        <w:trPr>
          <w:tblHeade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F9C266" w14:textId="77777777" w:rsidR="00331C9F" w:rsidRPr="006D4BA1" w:rsidRDefault="00331C9F" w:rsidP="00331C9F">
            <w:pPr>
              <w:pStyle w:val="NoSpacing"/>
              <w:rPr>
                <w:rFonts w:asciiTheme="majorBidi" w:hAnsiTheme="majorBidi" w:cstheme="majorBidi"/>
                <w:b/>
                <w:bCs/>
                <w:sz w:val="24"/>
                <w:szCs w:val="24"/>
              </w:rPr>
            </w:pPr>
            <w:r w:rsidRPr="006D4BA1">
              <w:rPr>
                <w:rFonts w:asciiTheme="majorBidi" w:hAnsiTheme="majorBidi" w:cstheme="majorBidi"/>
                <w:b/>
                <w:bCs/>
                <w:sz w:val="24"/>
                <w:szCs w:val="24"/>
              </w:rPr>
              <w:t>Structural Position / Layer</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A39FBE" w14:textId="77777777" w:rsidR="00331C9F" w:rsidRPr="006D4BA1" w:rsidRDefault="00331C9F" w:rsidP="00331C9F">
            <w:pPr>
              <w:pStyle w:val="NoSpacing"/>
              <w:rPr>
                <w:rFonts w:asciiTheme="majorBidi" w:hAnsiTheme="majorBidi" w:cstheme="majorBidi"/>
                <w:b/>
                <w:bCs/>
                <w:sz w:val="24"/>
                <w:szCs w:val="24"/>
              </w:rPr>
            </w:pPr>
            <w:r w:rsidRPr="006D4BA1">
              <w:rPr>
                <w:rFonts w:asciiTheme="majorBidi" w:hAnsiTheme="majorBidi" w:cstheme="majorBidi"/>
                <w:b/>
                <w:bCs/>
                <w:sz w:val="24"/>
                <w:szCs w:val="24"/>
              </w:rPr>
              <w:t>Theoretical Concept</w:t>
            </w:r>
          </w:p>
        </w:tc>
        <w:tc>
          <w:tcPr>
            <w:tcW w:w="647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3409F3" w14:textId="77777777" w:rsidR="00331C9F" w:rsidRPr="006D4BA1" w:rsidRDefault="00331C9F" w:rsidP="00331C9F">
            <w:pPr>
              <w:pStyle w:val="NoSpacing"/>
              <w:rPr>
                <w:rFonts w:asciiTheme="majorBidi" w:hAnsiTheme="majorBidi" w:cstheme="majorBidi"/>
                <w:b/>
                <w:bCs/>
                <w:sz w:val="24"/>
                <w:szCs w:val="24"/>
              </w:rPr>
            </w:pPr>
            <w:r w:rsidRPr="006D4BA1">
              <w:rPr>
                <w:rFonts w:asciiTheme="majorBidi" w:hAnsiTheme="majorBidi" w:cstheme="majorBidi"/>
                <w:b/>
                <w:bCs/>
                <w:sz w:val="24"/>
                <w:szCs w:val="24"/>
              </w:rPr>
              <w:t>Practical Mechanism &amp; Global Impact</w:t>
            </w:r>
          </w:p>
        </w:tc>
      </w:tr>
      <w:tr w:rsidR="006D4BA1" w:rsidRPr="006D4BA1" w14:paraId="4E1CB13D" w14:textId="77777777" w:rsidTr="0096162E">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0780AF" w14:textId="3835A033" w:rsidR="00331C9F" w:rsidRPr="006D4BA1" w:rsidRDefault="00331C9F" w:rsidP="0096162E">
            <w:pPr>
              <w:pStyle w:val="NoSpacing"/>
              <w:rPr>
                <w:rFonts w:asciiTheme="majorBidi" w:hAnsiTheme="majorBidi" w:cstheme="majorBidi"/>
                <w:b/>
                <w:bCs/>
                <w:sz w:val="24"/>
                <w:szCs w:val="24"/>
              </w:rPr>
            </w:pPr>
            <w:r w:rsidRPr="006D4BA1">
              <w:rPr>
                <w:rFonts w:asciiTheme="majorBidi" w:hAnsiTheme="majorBidi" w:cstheme="majorBidi"/>
                <w:b/>
                <w:bCs/>
                <w:sz w:val="24"/>
                <w:szCs w:val="24"/>
              </w:rPr>
              <w:t>Ascendant Semi-Periphery</w:t>
            </w:r>
          </w:p>
          <w:p w14:paraId="0AE06676" w14:textId="77777777" w:rsidR="00331C9F" w:rsidRPr="006D4BA1" w:rsidRDefault="00331C9F" w:rsidP="00331C9F">
            <w:pPr>
              <w:pStyle w:val="NoSpacing"/>
              <w:rPr>
                <w:rFonts w:asciiTheme="majorBidi" w:hAnsiTheme="majorBidi" w:cstheme="majorBidi"/>
                <w:b/>
                <w:bCs/>
                <w:sz w:val="24"/>
                <w:szCs w:val="24"/>
              </w:rPr>
            </w:pPr>
            <w:r w:rsidRPr="006D4BA1">
              <w:rPr>
                <w:rFonts w:asciiTheme="majorBidi" w:hAnsiTheme="majorBidi" w:cstheme="majorBidi"/>
                <w:b/>
                <w:bCs/>
                <w:i/>
                <w:iCs/>
                <w:sz w:val="24"/>
                <w:szCs w:val="24"/>
              </w:rPr>
              <w:t>(China)</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C768C6"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Capital Overaccumulation &amp; The "Spatial Fix"</w:t>
            </w:r>
          </w:p>
        </w:tc>
        <w:tc>
          <w:tcPr>
            <w:tcW w:w="647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0B5EB4"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Deploys domestic excess industrial capacity (steel, cement, machinery) outward.</w:t>
            </w:r>
          </w:p>
          <w:p w14:paraId="664388D6"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Absorbs surplus financial capital through massive international infrastructure megaprojects.</w:t>
            </w:r>
          </w:p>
          <w:p w14:paraId="48F730EC"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Constructs alternative trade, energy, and digital transit networks to bypass traditional Western core dominance.</w:t>
            </w:r>
          </w:p>
        </w:tc>
      </w:tr>
      <w:tr w:rsidR="006D4BA1" w:rsidRPr="006D4BA1" w14:paraId="1164BB8A" w14:textId="77777777" w:rsidTr="0096162E">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C85364" w14:textId="77777777" w:rsidR="00331C9F" w:rsidRPr="006D4BA1" w:rsidRDefault="00331C9F" w:rsidP="00331C9F">
            <w:pPr>
              <w:pStyle w:val="NoSpacing"/>
              <w:rPr>
                <w:rFonts w:asciiTheme="majorBidi" w:hAnsiTheme="majorBidi" w:cstheme="majorBidi"/>
                <w:b/>
                <w:bCs/>
                <w:sz w:val="24"/>
                <w:szCs w:val="24"/>
              </w:rPr>
            </w:pPr>
            <w:r w:rsidRPr="006D4BA1">
              <w:rPr>
                <w:rFonts w:asciiTheme="majorBidi" w:hAnsiTheme="majorBidi" w:cstheme="majorBidi"/>
                <w:b/>
                <w:bCs/>
                <w:sz w:val="24"/>
                <w:szCs w:val="24"/>
              </w:rPr>
              <w:t>Flows &amp; Structural Links</w:t>
            </w:r>
          </w:p>
          <w:p w14:paraId="6B44C3A0" w14:textId="55A03F94" w:rsidR="00331C9F" w:rsidRPr="006D4BA1" w:rsidRDefault="00331C9F" w:rsidP="0096162E">
            <w:pPr>
              <w:pStyle w:val="NoSpacing"/>
              <w:rPr>
                <w:rFonts w:asciiTheme="majorBidi" w:hAnsiTheme="majorBidi" w:cstheme="majorBidi"/>
                <w:b/>
                <w:bCs/>
                <w:sz w:val="24"/>
                <w:szCs w:val="24"/>
              </w:rPr>
            </w:pPr>
            <w:r w:rsidRPr="006D4BA1">
              <w:rPr>
                <w:rFonts w:asciiTheme="majorBidi" w:hAnsiTheme="majorBidi" w:cstheme="majorBidi"/>
                <w:b/>
                <w:bCs/>
                <w:i/>
                <w:iCs/>
                <w:sz w:val="24"/>
                <w:szCs w:val="24"/>
              </w:rPr>
              <w:t>(Inter-Regional Mechanisms)</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11C94F"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Capital Deployment &amp; Primary Resource Extraction</w:t>
            </w:r>
          </w:p>
        </w:tc>
        <w:tc>
          <w:tcPr>
            <w:tcW w:w="647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64C306"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Outbound: Outflows of state-backed capital, high-value infrastructure construction, and digital communications infrastructure.</w:t>
            </w:r>
          </w:p>
          <w:p w14:paraId="41666CB2" w14:textId="535FD4ED"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Inbound: Long-term raw material extraction (minerals, oil, agricultural goods) and secured transit nodes (ports, rail, pipelines).</w:t>
            </w:r>
          </w:p>
        </w:tc>
      </w:tr>
      <w:tr w:rsidR="006D4BA1" w:rsidRPr="006D4BA1" w14:paraId="4D404BB9" w14:textId="77777777" w:rsidTr="0096162E">
        <w:trPr>
          <w:tblCellSpacing w:w="15" w:type="dxa"/>
        </w:trPr>
        <w:tc>
          <w:tcPr>
            <w:tcW w:w="22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350953" w14:textId="403DAB2A" w:rsidR="00331C9F" w:rsidRPr="006D4BA1" w:rsidRDefault="00331C9F" w:rsidP="0096162E">
            <w:pPr>
              <w:pStyle w:val="NoSpacing"/>
              <w:rPr>
                <w:rFonts w:asciiTheme="majorBidi" w:hAnsiTheme="majorBidi" w:cstheme="majorBidi"/>
                <w:b/>
                <w:bCs/>
                <w:sz w:val="24"/>
                <w:szCs w:val="24"/>
              </w:rPr>
            </w:pPr>
            <w:r w:rsidRPr="006D4BA1">
              <w:rPr>
                <w:rFonts w:asciiTheme="majorBidi" w:hAnsiTheme="majorBidi" w:cstheme="majorBidi"/>
                <w:b/>
                <w:bCs/>
                <w:sz w:val="24"/>
                <w:szCs w:val="24"/>
              </w:rPr>
              <w:t>Peripheral Regions</w:t>
            </w:r>
          </w:p>
          <w:p w14:paraId="0EB3AD44" w14:textId="77777777" w:rsidR="00331C9F" w:rsidRPr="006D4BA1" w:rsidRDefault="00331C9F" w:rsidP="00331C9F">
            <w:pPr>
              <w:pStyle w:val="NoSpacing"/>
              <w:rPr>
                <w:rFonts w:asciiTheme="majorBidi" w:hAnsiTheme="majorBidi" w:cstheme="majorBidi"/>
                <w:b/>
                <w:bCs/>
                <w:sz w:val="24"/>
                <w:szCs w:val="24"/>
              </w:rPr>
            </w:pPr>
            <w:r w:rsidRPr="006D4BA1">
              <w:rPr>
                <w:rFonts w:asciiTheme="majorBidi" w:hAnsiTheme="majorBidi" w:cstheme="majorBidi"/>
                <w:b/>
                <w:bCs/>
                <w:i/>
                <w:iCs/>
                <w:sz w:val="24"/>
                <w:szCs w:val="24"/>
              </w:rPr>
              <w:t>(Sub-Saharan Africa, Central Asia, South Asia)</w:t>
            </w:r>
          </w:p>
        </w:tc>
        <w:tc>
          <w:tcPr>
            <w:tcW w:w="266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0AC3C6"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Structural Dependency &amp; Debt Entanglement</w:t>
            </w:r>
          </w:p>
        </w:tc>
        <w:tc>
          <w:tcPr>
            <w:tcW w:w="647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74725E" w14:textId="0E1AE5CA"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Spatial Fix Realization: Diverts domestic overcapacity into global connectivity networks, creating structural lock-in.</w:t>
            </w:r>
          </w:p>
          <w:p w14:paraId="07546F59" w14:textId="77777777" w:rsidR="00331C9F" w:rsidRPr="006D4BA1" w:rsidRDefault="00331C9F" w:rsidP="00331C9F">
            <w:pPr>
              <w:pStyle w:val="NoSpacing"/>
              <w:rPr>
                <w:rFonts w:asciiTheme="majorBidi" w:hAnsiTheme="majorBidi" w:cstheme="majorBidi"/>
                <w:sz w:val="24"/>
                <w:szCs w:val="24"/>
              </w:rPr>
            </w:pPr>
            <w:r w:rsidRPr="006D4BA1">
              <w:rPr>
                <w:rFonts w:asciiTheme="majorBidi" w:hAnsiTheme="majorBidi" w:cstheme="majorBidi"/>
                <w:sz w:val="24"/>
                <w:szCs w:val="24"/>
              </w:rPr>
              <w:t>• Technological &amp; Financial Integration: Binds local economies via the Digital Silk Road and resource-backed loans, consolidating regional economic influence without traditional territorial annexation.</w:t>
            </w:r>
          </w:p>
        </w:tc>
      </w:tr>
    </w:tbl>
    <w:p w14:paraId="5E2C60B2" w14:textId="77777777" w:rsidR="00331C9F" w:rsidRPr="00331C9F" w:rsidRDefault="00331C9F" w:rsidP="00331C9F">
      <w:pPr>
        <w:spacing w:before="100" w:beforeAutospacing="1" w:after="100" w:afterAutospacing="1"/>
        <w:rPr>
          <w:rFonts w:asciiTheme="majorBidi" w:eastAsia="Times New Roman" w:hAnsiTheme="majorBidi" w:cstheme="majorBidi"/>
          <w:sz w:val="24"/>
          <w:szCs w:val="24"/>
        </w:rPr>
      </w:pPr>
      <w:r w:rsidRPr="00331C9F">
        <w:rPr>
          <w:rFonts w:asciiTheme="majorBidi" w:eastAsia="Times New Roman" w:hAnsiTheme="majorBidi" w:cstheme="majorBidi"/>
          <w:sz w:val="24"/>
          <w:szCs w:val="24"/>
        </w:rPr>
        <w:lastRenderedPageBreak/>
        <w:t xml:space="preserve">Immanuel Wallerstein’s World-Systems Theory (WST) posits that the global capitalist economy is structured as a hierarchical matrix of </w:t>
      </w:r>
      <w:r w:rsidRPr="00331C9F">
        <w:rPr>
          <w:rFonts w:asciiTheme="majorBidi" w:eastAsia="Times New Roman" w:hAnsiTheme="majorBidi" w:cstheme="majorBidi"/>
          <w:b/>
          <w:bCs/>
          <w:sz w:val="24"/>
          <w:szCs w:val="24"/>
        </w:rPr>
        <w:t>Core</w:t>
      </w:r>
      <w:r w:rsidRPr="00331C9F">
        <w:rPr>
          <w:rFonts w:asciiTheme="majorBidi" w:eastAsia="Times New Roman" w:hAnsiTheme="majorBidi" w:cstheme="majorBidi"/>
          <w:sz w:val="24"/>
          <w:szCs w:val="24"/>
        </w:rPr>
        <w:t xml:space="preserve">, </w:t>
      </w:r>
      <w:r w:rsidRPr="00331C9F">
        <w:rPr>
          <w:rFonts w:asciiTheme="majorBidi" w:eastAsia="Times New Roman" w:hAnsiTheme="majorBidi" w:cstheme="majorBidi"/>
          <w:b/>
          <w:bCs/>
          <w:sz w:val="24"/>
          <w:szCs w:val="24"/>
        </w:rPr>
        <w:t>Semi-Periphery</w:t>
      </w:r>
      <w:r w:rsidRPr="00331C9F">
        <w:rPr>
          <w:rFonts w:asciiTheme="majorBidi" w:eastAsia="Times New Roman" w:hAnsiTheme="majorBidi" w:cstheme="majorBidi"/>
          <w:sz w:val="24"/>
          <w:szCs w:val="24"/>
        </w:rPr>
        <w:t xml:space="preserve">, and </w:t>
      </w:r>
      <w:r w:rsidRPr="00331C9F">
        <w:rPr>
          <w:rFonts w:asciiTheme="majorBidi" w:eastAsia="Times New Roman" w:hAnsiTheme="majorBidi" w:cstheme="majorBidi"/>
          <w:b/>
          <w:bCs/>
          <w:sz w:val="24"/>
          <w:szCs w:val="24"/>
        </w:rPr>
        <w:t>Periphery</w:t>
      </w:r>
      <w:r w:rsidRPr="00331C9F">
        <w:rPr>
          <w:rFonts w:asciiTheme="majorBidi" w:eastAsia="Times New Roman" w:hAnsiTheme="majorBidi" w:cstheme="majorBidi"/>
          <w:sz w:val="24"/>
          <w:szCs w:val="24"/>
        </w:rPr>
        <w:t xml:space="preserve"> regions. Power is maintained through unequal exchange, structural extraction, and capital accumulation. Rather than viewing China's Belt and Road Initiative (BRI) purely through a realist lens of military expansion, WST reveals it as a macro-economic, spatial reorganization of global capital accumulation.</w:t>
      </w:r>
    </w:p>
    <w:p w14:paraId="67867509" w14:textId="77777777" w:rsidR="00331C9F" w:rsidRPr="00331C9F" w:rsidRDefault="00331C9F" w:rsidP="00331C9F">
      <w:pPr>
        <w:numPr>
          <w:ilvl w:val="0"/>
          <w:numId w:val="38"/>
        </w:numPr>
        <w:spacing w:before="100" w:beforeAutospacing="1" w:after="100" w:afterAutospacing="1"/>
        <w:rPr>
          <w:rFonts w:asciiTheme="majorBidi" w:eastAsia="Times New Roman" w:hAnsiTheme="majorBidi" w:cstheme="majorBidi"/>
          <w:sz w:val="24"/>
          <w:szCs w:val="24"/>
        </w:rPr>
      </w:pPr>
      <w:r w:rsidRPr="00331C9F">
        <w:rPr>
          <w:rFonts w:asciiTheme="majorBidi" w:eastAsia="Times New Roman" w:hAnsiTheme="majorBidi" w:cstheme="majorBidi"/>
          <w:b/>
          <w:bCs/>
          <w:sz w:val="24"/>
          <w:szCs w:val="24"/>
        </w:rPr>
        <w:t>China as the Ascendant Semi-Periphery:</w:t>
      </w:r>
      <w:r w:rsidRPr="00331C9F">
        <w:rPr>
          <w:rFonts w:asciiTheme="majorBidi" w:eastAsia="Times New Roman" w:hAnsiTheme="majorBidi" w:cstheme="majorBidi"/>
          <w:sz w:val="24"/>
          <w:szCs w:val="24"/>
        </w:rPr>
        <w:t xml:space="preserve"> China occupies a pivotal semi-peripheral position—acting as a high-tech manufacturing hub while remaining structurally dependent on peripheral resources and core financial/technological markets. The BRI represents an effort by semi-peripheral capital to break core hegemony (US/EU) by constructing an alternative network of trade, transport, and monetary corridors. </w:t>
      </w:r>
    </w:p>
    <w:p w14:paraId="2C44DB73" w14:textId="77777777" w:rsidR="00331C9F" w:rsidRPr="00331C9F" w:rsidRDefault="00331C9F" w:rsidP="00331C9F">
      <w:pPr>
        <w:numPr>
          <w:ilvl w:val="0"/>
          <w:numId w:val="38"/>
        </w:numPr>
        <w:spacing w:before="100" w:beforeAutospacing="1" w:after="100" w:afterAutospacing="1"/>
        <w:rPr>
          <w:rFonts w:asciiTheme="majorBidi" w:eastAsia="Times New Roman" w:hAnsiTheme="majorBidi" w:cstheme="majorBidi"/>
          <w:sz w:val="24"/>
          <w:szCs w:val="24"/>
        </w:rPr>
      </w:pPr>
      <w:r w:rsidRPr="00331C9F">
        <w:rPr>
          <w:rFonts w:asciiTheme="majorBidi" w:eastAsia="Times New Roman" w:hAnsiTheme="majorBidi" w:cstheme="majorBidi"/>
          <w:b/>
          <w:bCs/>
          <w:sz w:val="24"/>
          <w:szCs w:val="24"/>
        </w:rPr>
        <w:t>The "Spatial Fix" for Overaccumulation:</w:t>
      </w:r>
      <w:r w:rsidRPr="00331C9F">
        <w:rPr>
          <w:rFonts w:asciiTheme="majorBidi" w:eastAsia="Times New Roman" w:hAnsiTheme="majorBidi" w:cstheme="majorBidi"/>
          <w:sz w:val="24"/>
          <w:szCs w:val="24"/>
        </w:rPr>
        <w:t xml:space="preserve"> Drawing on David Harvey's Marxist addition to WST, the BRI functions as a classic "spatial fix." Faced with domestic overcapacity in steel, cement, and construction, alongside massive surplus capital, China uses the BRI to export excess capacity outward. By building ports (Gwadar, Hambantota) and rail networks across Central Asia and Africa, China absorbs domestic surplus while binding peripheral economies to Chinese industrial supply chains.</w:t>
      </w:r>
    </w:p>
    <w:p w14:paraId="68A383F2" w14:textId="77777777" w:rsidR="00331C9F" w:rsidRPr="00331C9F" w:rsidRDefault="00331C9F" w:rsidP="00331C9F">
      <w:pPr>
        <w:numPr>
          <w:ilvl w:val="0"/>
          <w:numId w:val="38"/>
        </w:numPr>
        <w:spacing w:before="100" w:beforeAutospacing="1" w:after="100" w:afterAutospacing="1"/>
        <w:rPr>
          <w:rFonts w:asciiTheme="majorBidi" w:eastAsia="Times New Roman" w:hAnsiTheme="majorBidi" w:cstheme="majorBidi"/>
          <w:sz w:val="24"/>
          <w:szCs w:val="24"/>
        </w:rPr>
      </w:pPr>
      <w:r w:rsidRPr="00331C9F">
        <w:rPr>
          <w:rFonts w:asciiTheme="majorBidi" w:eastAsia="Times New Roman" w:hAnsiTheme="majorBidi" w:cstheme="majorBidi"/>
          <w:b/>
          <w:bCs/>
          <w:sz w:val="24"/>
          <w:szCs w:val="24"/>
        </w:rPr>
        <w:t>Reproducing Core-Periphery Hierarchies:</w:t>
      </w:r>
      <w:r w:rsidRPr="00331C9F">
        <w:rPr>
          <w:rFonts w:asciiTheme="majorBidi" w:eastAsia="Times New Roman" w:hAnsiTheme="majorBidi" w:cstheme="majorBidi"/>
          <w:sz w:val="24"/>
          <w:szCs w:val="24"/>
        </w:rPr>
        <w:t xml:space="preserve"> While framed as "win-win South-South cooperation," the structural reality of the BRI often reproduces historical core-periphery dynamics. Peripheral states export primary commodities (minerals, oil, agricultural goods) to China and import high-value infrastructure, machinery, and digital systems (Digital Silk Road). This locks peripheral states into structural debt relations and technological dependency, establishing a network-based hierarchy without traditional territorial colonization. </w:t>
      </w:r>
    </w:p>
    <w:p w14:paraId="26CCC3E4" w14:textId="25B00427" w:rsidR="00BB3A49" w:rsidRPr="00BB3A49" w:rsidRDefault="0096162E" w:rsidP="00BB3A49">
      <w:pPr>
        <w:spacing w:before="100" w:beforeAutospacing="1" w:after="100" w:afterAutospacing="1"/>
        <w:rPr>
          <w:rFonts w:ascii="Times New Roman" w:eastAsia="Times New Roman" w:hAnsi="Times New Roman" w:cs="Times New Roman"/>
          <w:b/>
          <w:bCs/>
          <w:sz w:val="24"/>
          <w:szCs w:val="24"/>
        </w:rPr>
      </w:pPr>
      <w:r w:rsidRPr="0096162E">
        <w:rPr>
          <w:rFonts w:ascii="Times New Roman" w:eastAsia="Times New Roman" w:hAnsi="Times New Roman" w:cs="Times New Roman"/>
          <w:b/>
          <w:bCs/>
          <w:sz w:val="24"/>
          <w:szCs w:val="24"/>
        </w:rPr>
        <w:t>C</w:t>
      </w:r>
      <w:r w:rsidR="00BB3A49" w:rsidRPr="00BB3A49">
        <w:rPr>
          <w:rFonts w:ascii="Times New Roman" w:eastAsia="Times New Roman" w:hAnsi="Times New Roman" w:cs="Times New Roman"/>
          <w:b/>
          <w:bCs/>
          <w:sz w:val="24"/>
          <w:szCs w:val="24"/>
        </w:rPr>
        <w:t>omplete reference list formatted according to, strictly citing the foundational texts, key theoretical contributions, and seminal publications corresponding to the six theoretical domains discussed in your systematic review (Cox, 1981; Dobson, 2007; Eckersley, 2004; Enloe, 1989/2014; Said, 1978; Spivak, 1988; Tickner, 1988; United Nations Development Programme, 1994; Wallerstein, 1974).</w:t>
      </w:r>
    </w:p>
    <w:p w14:paraId="1883D4C7" w14:textId="7C74834A"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b/>
          <w:bCs/>
          <w:sz w:val="24"/>
          <w:szCs w:val="24"/>
        </w:rPr>
        <w:t>References APA 7th Edition</w:t>
      </w:r>
      <w:r w:rsidRPr="00BB3A49">
        <w:rPr>
          <w:rFonts w:ascii="Times New Roman" w:eastAsia="Times New Roman" w:hAnsi="Times New Roman" w:cs="Times New Roman"/>
          <w:sz w:val="24"/>
          <w:szCs w:val="24"/>
        </w:rPr>
        <w:t xml:space="preserve"> standards</w:t>
      </w:r>
    </w:p>
    <w:p w14:paraId="5708E0BB" w14:textId="4B7D06C9" w:rsidR="00C56C30" w:rsidRPr="00D926A7" w:rsidRDefault="00C56C30" w:rsidP="00C56C30">
      <w:pPr>
        <w:pStyle w:val="Default"/>
        <w:rPr>
          <w:rFonts w:asciiTheme="majorBidi" w:hAnsiTheme="majorBidi" w:cstheme="majorBidi"/>
          <w:i/>
          <w:iCs/>
        </w:rPr>
      </w:pPr>
      <w:r w:rsidRPr="00D926A7">
        <w:rPr>
          <w:rFonts w:asciiTheme="majorBidi" w:hAnsiTheme="majorBidi" w:cstheme="majorBidi"/>
          <w:b/>
          <w:bCs/>
        </w:rPr>
        <w:t>Ahmed A. Ibrahim</w:t>
      </w:r>
      <w:r>
        <w:rPr>
          <w:rFonts w:asciiTheme="majorBidi" w:hAnsiTheme="majorBidi" w:cstheme="majorBidi"/>
          <w:b/>
          <w:bCs/>
        </w:rPr>
        <w:t>.</w:t>
      </w:r>
      <w:r w:rsidRPr="00D926A7">
        <w:rPr>
          <w:rFonts w:asciiTheme="majorBidi" w:hAnsiTheme="majorBidi" w:cstheme="majorBidi"/>
          <w:b/>
          <w:bCs/>
        </w:rPr>
        <w:t xml:space="preserve"> Timojilic</w:t>
      </w:r>
      <w:r>
        <w:rPr>
          <w:rFonts w:asciiTheme="majorBidi" w:hAnsiTheme="majorBidi" w:cstheme="majorBidi"/>
          <w:b/>
          <w:bCs/>
        </w:rPr>
        <w:t xml:space="preserve">. </w:t>
      </w:r>
      <w:r>
        <w:rPr>
          <w:rFonts w:asciiTheme="majorBidi" w:hAnsiTheme="majorBidi" w:cstheme="majorBidi"/>
        </w:rPr>
        <w:t xml:space="preserve"> </w:t>
      </w:r>
      <w:r>
        <w:rPr>
          <w:rFonts w:asciiTheme="majorBidi" w:hAnsiTheme="majorBidi" w:cstheme="majorBidi"/>
        </w:rPr>
        <w:t xml:space="preserve">(2012) </w:t>
      </w:r>
      <w:r w:rsidRPr="00D926A7">
        <w:rPr>
          <w:rFonts w:asciiTheme="majorBidi" w:hAnsiTheme="majorBidi" w:cstheme="majorBidi"/>
          <w:i/>
          <w:iCs/>
        </w:rPr>
        <w:t>leadership and good governance</w:t>
      </w:r>
      <w:r>
        <w:rPr>
          <w:rFonts w:asciiTheme="majorBidi" w:hAnsiTheme="majorBidi" w:cstheme="majorBidi"/>
          <w:i/>
          <w:iCs/>
        </w:rPr>
        <w:t>.</w:t>
      </w:r>
      <w:r w:rsidRPr="00D926A7">
        <w:rPr>
          <w:rFonts w:asciiTheme="majorBidi" w:hAnsiTheme="majorBidi" w:cstheme="majorBidi"/>
          <w:i/>
          <w:iCs/>
        </w:rPr>
        <w:t xml:space="preserve"> </w:t>
      </w:r>
      <w:r>
        <w:rPr>
          <w:rFonts w:asciiTheme="majorBidi" w:hAnsiTheme="majorBidi" w:cstheme="majorBidi"/>
          <w:i/>
          <w:iCs/>
        </w:rPr>
        <w:t>H</w:t>
      </w:r>
      <w:r w:rsidRPr="00D926A7">
        <w:rPr>
          <w:rFonts w:asciiTheme="majorBidi" w:hAnsiTheme="majorBidi" w:cstheme="majorBidi"/>
          <w:i/>
          <w:iCs/>
        </w:rPr>
        <w:t>argeisa</w:t>
      </w:r>
      <w:r w:rsidRPr="004C2F71">
        <w:rPr>
          <w:rFonts w:asciiTheme="majorBidi" w:hAnsiTheme="majorBidi" w:cstheme="majorBidi"/>
          <w:i/>
          <w:iCs/>
        </w:rPr>
        <w:t xml:space="preserve"> </w:t>
      </w:r>
      <w:r>
        <w:rPr>
          <w:rFonts w:asciiTheme="majorBidi" w:hAnsiTheme="majorBidi" w:cstheme="majorBidi"/>
          <w:i/>
          <w:iCs/>
        </w:rPr>
        <w:t>S</w:t>
      </w:r>
      <w:r w:rsidRPr="00D926A7">
        <w:rPr>
          <w:rFonts w:asciiTheme="majorBidi" w:hAnsiTheme="majorBidi" w:cstheme="majorBidi"/>
          <w:i/>
          <w:iCs/>
        </w:rPr>
        <w:t>omaliland</w:t>
      </w:r>
      <w:r>
        <w:rPr>
          <w:sz w:val="23"/>
          <w:szCs w:val="23"/>
        </w:rPr>
        <w:t xml:space="preserve">. </w:t>
      </w:r>
      <w:r w:rsidRPr="00BB3A49">
        <w:rPr>
          <w:rFonts w:ascii="Times New Roman" w:eastAsia="Times New Roman" w:hAnsi="Times New Roman" w:cs="Times New Roman"/>
        </w:rPr>
        <w:t>Beyond international relations theory</w:t>
      </w:r>
    </w:p>
    <w:p w14:paraId="14868CB2" w14:textId="07082DCB"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Cox, R. W. (1981). Social forces, states and world orders: </w:t>
      </w:r>
      <w:bookmarkStart w:id="1" w:name="_Hlk238242966"/>
      <w:r w:rsidRPr="00BB3A49">
        <w:rPr>
          <w:rFonts w:ascii="Times New Roman" w:eastAsia="Times New Roman" w:hAnsi="Times New Roman" w:cs="Times New Roman"/>
          <w:sz w:val="24"/>
          <w:szCs w:val="24"/>
        </w:rPr>
        <w:t>Beyond international relations theory</w:t>
      </w:r>
      <w:bookmarkEnd w:id="1"/>
      <w:r w:rsidRPr="00BB3A49">
        <w:rPr>
          <w:rFonts w:ascii="Times New Roman" w:eastAsia="Times New Roman" w:hAnsi="Times New Roman" w:cs="Times New Roman"/>
          <w:sz w:val="24"/>
          <w:szCs w:val="24"/>
        </w:rPr>
        <w:t xml:space="preserve">. </w:t>
      </w:r>
      <w:r w:rsidRPr="00BB3A49">
        <w:rPr>
          <w:rFonts w:ascii="Times New Roman" w:eastAsia="Times New Roman" w:hAnsi="Times New Roman" w:cs="Times New Roman"/>
          <w:i/>
          <w:iCs/>
          <w:sz w:val="24"/>
          <w:szCs w:val="24"/>
        </w:rPr>
        <w:t>Millennium: Journal of International Studies</w:t>
      </w:r>
      <w:r w:rsidRPr="00BB3A49">
        <w:rPr>
          <w:rFonts w:ascii="Times New Roman" w:eastAsia="Times New Roman" w:hAnsi="Times New Roman" w:cs="Times New Roman"/>
          <w:sz w:val="24"/>
          <w:szCs w:val="24"/>
        </w:rPr>
        <w:t xml:space="preserve">, </w:t>
      </w:r>
      <w:r w:rsidRPr="00BB3A49">
        <w:rPr>
          <w:rFonts w:ascii="Times New Roman" w:eastAsia="Times New Roman" w:hAnsi="Times New Roman" w:cs="Times New Roman"/>
          <w:i/>
          <w:iCs/>
          <w:sz w:val="24"/>
          <w:szCs w:val="24"/>
        </w:rPr>
        <w:t>10</w:t>
      </w:r>
      <w:r w:rsidRPr="00BB3A49">
        <w:rPr>
          <w:rFonts w:ascii="Times New Roman" w:eastAsia="Times New Roman" w:hAnsi="Times New Roman" w:cs="Times New Roman"/>
          <w:sz w:val="24"/>
          <w:szCs w:val="24"/>
        </w:rPr>
        <w:t xml:space="preserve">(2), 126–155. </w:t>
      </w:r>
      <w:hyperlink r:id="rId12" w:tgtFrame="_blank" w:history="1">
        <w:r w:rsidRPr="00BB3A49">
          <w:rPr>
            <w:rFonts w:ascii="Times New Roman" w:eastAsia="Times New Roman" w:hAnsi="Times New Roman" w:cs="Times New Roman"/>
            <w:color w:val="0000FF"/>
            <w:sz w:val="24"/>
            <w:szCs w:val="24"/>
            <w:u w:val="single"/>
          </w:rPr>
          <w:t>https://doi.org/10.1177/03058298810100020501</w:t>
        </w:r>
      </w:hyperlink>
    </w:p>
    <w:p w14:paraId="08D03733"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Dobson, A. (2007). </w:t>
      </w:r>
      <w:r w:rsidRPr="00BB3A49">
        <w:rPr>
          <w:rFonts w:ascii="Times New Roman" w:eastAsia="Times New Roman" w:hAnsi="Times New Roman" w:cs="Times New Roman"/>
          <w:i/>
          <w:iCs/>
          <w:sz w:val="24"/>
          <w:szCs w:val="24"/>
        </w:rPr>
        <w:t>Green political thought</w:t>
      </w:r>
      <w:r w:rsidRPr="00BB3A49">
        <w:rPr>
          <w:rFonts w:ascii="Times New Roman" w:eastAsia="Times New Roman" w:hAnsi="Times New Roman" w:cs="Times New Roman"/>
          <w:sz w:val="24"/>
          <w:szCs w:val="24"/>
        </w:rPr>
        <w:t xml:space="preserve"> (4th ed.). Routledge.</w:t>
      </w:r>
    </w:p>
    <w:p w14:paraId="36E24B49"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Eckersley, R. (2004). </w:t>
      </w:r>
      <w:r w:rsidRPr="00BB3A49">
        <w:rPr>
          <w:rFonts w:ascii="Times New Roman" w:eastAsia="Times New Roman" w:hAnsi="Times New Roman" w:cs="Times New Roman"/>
          <w:i/>
          <w:iCs/>
          <w:sz w:val="24"/>
          <w:szCs w:val="24"/>
        </w:rPr>
        <w:t>The green state: Rethinking democracy and sovereignty</w:t>
      </w:r>
      <w:r w:rsidRPr="00BB3A49">
        <w:rPr>
          <w:rFonts w:ascii="Times New Roman" w:eastAsia="Times New Roman" w:hAnsi="Times New Roman" w:cs="Times New Roman"/>
          <w:sz w:val="24"/>
          <w:szCs w:val="24"/>
        </w:rPr>
        <w:t>. MIT Press.</w:t>
      </w:r>
    </w:p>
    <w:p w14:paraId="226F0C5C"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lastRenderedPageBreak/>
        <w:t xml:space="preserve">Enloe, C. (2014). </w:t>
      </w:r>
      <w:r w:rsidRPr="00BB3A49">
        <w:rPr>
          <w:rFonts w:ascii="Times New Roman" w:eastAsia="Times New Roman" w:hAnsi="Times New Roman" w:cs="Times New Roman"/>
          <w:i/>
          <w:iCs/>
          <w:sz w:val="24"/>
          <w:szCs w:val="24"/>
        </w:rPr>
        <w:t>Bananas, beaches and bases: Making feminist sense of international politics</w:t>
      </w:r>
      <w:r w:rsidRPr="00BB3A49">
        <w:rPr>
          <w:rFonts w:ascii="Times New Roman" w:eastAsia="Times New Roman" w:hAnsi="Times New Roman" w:cs="Times New Roman"/>
          <w:sz w:val="24"/>
          <w:szCs w:val="24"/>
        </w:rPr>
        <w:t xml:space="preserve"> (2nd ed.). University of California Press. (Original work published 1989)</w:t>
      </w:r>
    </w:p>
    <w:p w14:paraId="1939DAEC"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Said, E. W. (1978). </w:t>
      </w:r>
      <w:r w:rsidRPr="00BB3A49">
        <w:rPr>
          <w:rFonts w:ascii="Times New Roman" w:eastAsia="Times New Roman" w:hAnsi="Times New Roman" w:cs="Times New Roman"/>
          <w:i/>
          <w:iCs/>
          <w:sz w:val="24"/>
          <w:szCs w:val="24"/>
        </w:rPr>
        <w:t>Orientalism</w:t>
      </w:r>
      <w:r w:rsidRPr="00BB3A49">
        <w:rPr>
          <w:rFonts w:ascii="Times New Roman" w:eastAsia="Times New Roman" w:hAnsi="Times New Roman" w:cs="Times New Roman"/>
          <w:sz w:val="24"/>
          <w:szCs w:val="24"/>
        </w:rPr>
        <w:t>. Pantheon Books.</w:t>
      </w:r>
    </w:p>
    <w:p w14:paraId="5B905DBC"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Spivak, G. C. (1988). Can the subaltern speak? In C. Nelson &amp; L. Grossberg (Eds.), </w:t>
      </w:r>
      <w:r w:rsidRPr="00BB3A49">
        <w:rPr>
          <w:rFonts w:ascii="Times New Roman" w:eastAsia="Times New Roman" w:hAnsi="Times New Roman" w:cs="Times New Roman"/>
          <w:i/>
          <w:iCs/>
          <w:sz w:val="24"/>
          <w:szCs w:val="24"/>
        </w:rPr>
        <w:t>Marxism and the interpretation of culture</w:t>
      </w:r>
      <w:r w:rsidRPr="00BB3A49">
        <w:rPr>
          <w:rFonts w:ascii="Times New Roman" w:eastAsia="Times New Roman" w:hAnsi="Times New Roman" w:cs="Times New Roman"/>
          <w:sz w:val="24"/>
          <w:szCs w:val="24"/>
        </w:rPr>
        <w:t xml:space="preserve"> (pp. 271–313). University of Illinois Press.</w:t>
      </w:r>
    </w:p>
    <w:p w14:paraId="4C68D282"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Tickner, J. A. (1988). Hans Morgenthau's principles of political realism: A feminist reformulation. </w:t>
      </w:r>
      <w:r w:rsidRPr="00BB3A49">
        <w:rPr>
          <w:rFonts w:ascii="Times New Roman" w:eastAsia="Times New Roman" w:hAnsi="Times New Roman" w:cs="Times New Roman"/>
          <w:i/>
          <w:iCs/>
          <w:sz w:val="24"/>
          <w:szCs w:val="24"/>
        </w:rPr>
        <w:t>Millennium: Journal of International Studies</w:t>
      </w:r>
      <w:r w:rsidRPr="00BB3A49">
        <w:rPr>
          <w:rFonts w:ascii="Times New Roman" w:eastAsia="Times New Roman" w:hAnsi="Times New Roman" w:cs="Times New Roman"/>
          <w:sz w:val="24"/>
          <w:szCs w:val="24"/>
        </w:rPr>
        <w:t xml:space="preserve">, </w:t>
      </w:r>
      <w:r w:rsidRPr="00BB3A49">
        <w:rPr>
          <w:rFonts w:ascii="Times New Roman" w:eastAsia="Times New Roman" w:hAnsi="Times New Roman" w:cs="Times New Roman"/>
          <w:i/>
          <w:iCs/>
          <w:sz w:val="24"/>
          <w:szCs w:val="24"/>
        </w:rPr>
        <w:t>17</w:t>
      </w:r>
      <w:r w:rsidRPr="00BB3A49">
        <w:rPr>
          <w:rFonts w:ascii="Times New Roman" w:eastAsia="Times New Roman" w:hAnsi="Times New Roman" w:cs="Times New Roman"/>
          <w:sz w:val="24"/>
          <w:szCs w:val="24"/>
        </w:rPr>
        <w:t xml:space="preserve">(3), 429–440. </w:t>
      </w:r>
      <w:hyperlink r:id="rId13" w:tgtFrame="_blank" w:history="1">
        <w:r w:rsidRPr="00BB3A49">
          <w:rPr>
            <w:rFonts w:ascii="Times New Roman" w:eastAsia="Times New Roman" w:hAnsi="Times New Roman" w:cs="Times New Roman"/>
            <w:color w:val="0000FF"/>
            <w:sz w:val="24"/>
            <w:szCs w:val="24"/>
            <w:u w:val="single"/>
          </w:rPr>
          <w:t>https://doi.org/10.1177/03058298880170030801</w:t>
        </w:r>
      </w:hyperlink>
    </w:p>
    <w:p w14:paraId="6C609D91"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United Nations Development Programme. (1994). </w:t>
      </w:r>
      <w:r w:rsidRPr="00BB3A49">
        <w:rPr>
          <w:rFonts w:ascii="Times New Roman" w:eastAsia="Times New Roman" w:hAnsi="Times New Roman" w:cs="Times New Roman"/>
          <w:i/>
          <w:iCs/>
          <w:sz w:val="24"/>
          <w:szCs w:val="24"/>
        </w:rPr>
        <w:t>Human development report 1994: New dimensions of human security</w:t>
      </w:r>
      <w:r w:rsidRPr="00BB3A49">
        <w:rPr>
          <w:rFonts w:ascii="Times New Roman" w:eastAsia="Times New Roman" w:hAnsi="Times New Roman" w:cs="Times New Roman"/>
          <w:sz w:val="24"/>
          <w:szCs w:val="24"/>
        </w:rPr>
        <w:t xml:space="preserve">. Oxford University Press. </w:t>
      </w:r>
      <w:hyperlink r:id="rId14" w:tgtFrame="_blank" w:history="1">
        <w:r w:rsidRPr="00BB3A49">
          <w:rPr>
            <w:rFonts w:ascii="Times New Roman" w:eastAsia="Times New Roman" w:hAnsi="Times New Roman" w:cs="Times New Roman"/>
            <w:color w:val="0000FF"/>
            <w:sz w:val="24"/>
            <w:szCs w:val="24"/>
            <w:u w:val="single"/>
          </w:rPr>
          <w:t>https://hdr.undp.org/content/human-development-report-1994</w:t>
        </w:r>
      </w:hyperlink>
    </w:p>
    <w:p w14:paraId="5189A36F" w14:textId="77777777" w:rsidR="00BB3A49" w:rsidRPr="00BB3A49" w:rsidRDefault="00BB3A49" w:rsidP="00BB3A49">
      <w:pPr>
        <w:spacing w:before="100" w:beforeAutospacing="1" w:after="100" w:afterAutospacing="1"/>
        <w:rPr>
          <w:rFonts w:ascii="Times New Roman" w:eastAsia="Times New Roman" w:hAnsi="Times New Roman" w:cs="Times New Roman"/>
          <w:sz w:val="24"/>
          <w:szCs w:val="24"/>
        </w:rPr>
      </w:pPr>
      <w:r w:rsidRPr="00BB3A49">
        <w:rPr>
          <w:rFonts w:ascii="Times New Roman" w:eastAsia="Times New Roman" w:hAnsi="Times New Roman" w:cs="Times New Roman"/>
          <w:sz w:val="24"/>
          <w:szCs w:val="24"/>
        </w:rPr>
        <w:t xml:space="preserve">Wallerstein, I. (1974). </w:t>
      </w:r>
      <w:r w:rsidRPr="00BB3A49">
        <w:rPr>
          <w:rFonts w:ascii="Times New Roman" w:eastAsia="Times New Roman" w:hAnsi="Times New Roman" w:cs="Times New Roman"/>
          <w:i/>
          <w:iCs/>
          <w:sz w:val="24"/>
          <w:szCs w:val="24"/>
        </w:rPr>
        <w:t>The modern world-system I: Capitalist agriculture and the origins of the European world-economy in the sixteenth century</w:t>
      </w:r>
      <w:r w:rsidRPr="00BB3A49">
        <w:rPr>
          <w:rFonts w:ascii="Times New Roman" w:eastAsia="Times New Roman" w:hAnsi="Times New Roman" w:cs="Times New Roman"/>
          <w:sz w:val="24"/>
          <w:szCs w:val="24"/>
        </w:rPr>
        <w:t>. Academic Press.</w:t>
      </w:r>
    </w:p>
    <w:p w14:paraId="5CFB0610" w14:textId="77777777" w:rsidR="00C96DDF" w:rsidRPr="006D4BA1" w:rsidRDefault="00C96DDF" w:rsidP="00C96DDF">
      <w:pPr>
        <w:spacing w:before="100" w:beforeAutospacing="1" w:after="100" w:afterAutospacing="1"/>
        <w:rPr>
          <w:rFonts w:asciiTheme="majorBidi" w:eastAsia="Times New Roman" w:hAnsiTheme="majorBidi" w:cstheme="majorBidi"/>
          <w:sz w:val="24"/>
          <w:szCs w:val="24"/>
        </w:rPr>
      </w:pPr>
      <w:r w:rsidRPr="006D4BA1">
        <w:rPr>
          <w:rFonts w:asciiTheme="majorBidi" w:eastAsia="Times New Roman" w:hAnsiTheme="majorBidi" w:cstheme="majorBidi"/>
          <w:b/>
          <w:bCs/>
          <w:sz w:val="24"/>
          <w:szCs w:val="24"/>
        </w:rPr>
        <w:t>Mearsheimer, J. J.</w:t>
      </w:r>
      <w:r w:rsidRPr="006D4BA1">
        <w:rPr>
          <w:rFonts w:asciiTheme="majorBidi" w:eastAsia="Times New Roman" w:hAnsiTheme="majorBidi" w:cstheme="majorBidi"/>
          <w:sz w:val="24"/>
          <w:szCs w:val="24"/>
        </w:rPr>
        <w:t xml:space="preserve"> </w:t>
      </w:r>
      <w:r w:rsidRPr="006D4BA1">
        <w:rPr>
          <w:rFonts w:asciiTheme="majorBidi" w:eastAsia="Times New Roman" w:hAnsiTheme="majorBidi" w:cstheme="majorBidi"/>
          <w:i/>
          <w:iCs/>
          <w:sz w:val="24"/>
          <w:szCs w:val="24"/>
        </w:rPr>
        <w:t>The Tragedy of Great Power Politics.</w:t>
      </w:r>
      <w:r w:rsidRPr="006D4BA1">
        <w:rPr>
          <w:rFonts w:asciiTheme="majorBidi" w:eastAsia="Times New Roman" w:hAnsiTheme="majorBidi" w:cstheme="majorBidi"/>
          <w:sz w:val="24"/>
          <w:szCs w:val="24"/>
        </w:rPr>
        <w:t xml:space="preserve"> New York: W.W. Norton &amp; Company. (Provides the foundational baseline for structural neorealism and relative gains maximization).</w:t>
      </w:r>
    </w:p>
    <w:p w14:paraId="252473CC" w14:textId="77777777" w:rsidR="00C96DDF" w:rsidRPr="006D4BA1" w:rsidRDefault="00C96DDF" w:rsidP="00C96DDF">
      <w:pPr>
        <w:spacing w:before="100" w:beforeAutospacing="1" w:after="100" w:afterAutospacing="1"/>
        <w:rPr>
          <w:rFonts w:asciiTheme="majorBidi" w:eastAsia="Times New Roman" w:hAnsiTheme="majorBidi" w:cstheme="majorBidi"/>
          <w:sz w:val="24"/>
          <w:szCs w:val="24"/>
        </w:rPr>
      </w:pPr>
      <w:r w:rsidRPr="006D4BA1">
        <w:rPr>
          <w:rFonts w:asciiTheme="majorBidi" w:eastAsia="Times New Roman" w:hAnsiTheme="majorBidi" w:cstheme="majorBidi"/>
          <w:b/>
          <w:bCs/>
          <w:sz w:val="24"/>
          <w:szCs w:val="24"/>
        </w:rPr>
        <w:t>Keohane, R. O., &amp; Nye, J. S.</w:t>
      </w:r>
      <w:r w:rsidRPr="006D4BA1">
        <w:rPr>
          <w:rFonts w:asciiTheme="majorBidi" w:eastAsia="Times New Roman" w:hAnsiTheme="majorBidi" w:cstheme="majorBidi"/>
          <w:sz w:val="24"/>
          <w:szCs w:val="24"/>
        </w:rPr>
        <w:t xml:space="preserve"> </w:t>
      </w:r>
      <w:r w:rsidRPr="006D4BA1">
        <w:rPr>
          <w:rFonts w:asciiTheme="majorBidi" w:eastAsia="Times New Roman" w:hAnsiTheme="majorBidi" w:cstheme="majorBidi"/>
          <w:i/>
          <w:iCs/>
          <w:sz w:val="24"/>
          <w:szCs w:val="24"/>
        </w:rPr>
        <w:t>Power and Interdependence.</w:t>
      </w:r>
      <w:r w:rsidRPr="006D4BA1">
        <w:rPr>
          <w:rFonts w:asciiTheme="majorBidi" w:eastAsia="Times New Roman" w:hAnsiTheme="majorBidi" w:cstheme="majorBidi"/>
          <w:sz w:val="24"/>
          <w:szCs w:val="24"/>
        </w:rPr>
        <w:t xml:space="preserve"> Boston: Longman. (Establishes the core criteria for complex interdependence and institutional mitigation of anarchy).</w:t>
      </w:r>
    </w:p>
    <w:p w14:paraId="027B26BD" w14:textId="77777777" w:rsidR="00C96DDF" w:rsidRPr="006D4BA1" w:rsidRDefault="00C96DDF" w:rsidP="00C96DDF">
      <w:pPr>
        <w:spacing w:before="100" w:beforeAutospacing="1" w:after="100" w:afterAutospacing="1"/>
        <w:rPr>
          <w:rFonts w:asciiTheme="majorBidi" w:eastAsia="Times New Roman" w:hAnsiTheme="majorBidi" w:cstheme="majorBidi"/>
          <w:sz w:val="24"/>
          <w:szCs w:val="24"/>
        </w:rPr>
      </w:pPr>
      <w:r w:rsidRPr="006D4BA1">
        <w:rPr>
          <w:rFonts w:asciiTheme="majorBidi" w:eastAsia="Times New Roman" w:hAnsiTheme="majorBidi" w:cstheme="majorBidi"/>
          <w:b/>
          <w:bCs/>
          <w:sz w:val="24"/>
          <w:szCs w:val="24"/>
        </w:rPr>
        <w:t>Waltz, K. N.</w:t>
      </w:r>
      <w:r w:rsidRPr="006D4BA1">
        <w:rPr>
          <w:rFonts w:asciiTheme="majorBidi" w:eastAsia="Times New Roman" w:hAnsiTheme="majorBidi" w:cstheme="majorBidi"/>
          <w:sz w:val="24"/>
          <w:szCs w:val="24"/>
        </w:rPr>
        <w:t xml:space="preserve"> </w:t>
      </w:r>
      <w:r w:rsidRPr="006D4BA1">
        <w:rPr>
          <w:rFonts w:asciiTheme="majorBidi" w:eastAsia="Times New Roman" w:hAnsiTheme="majorBidi" w:cstheme="majorBidi"/>
          <w:i/>
          <w:iCs/>
          <w:sz w:val="24"/>
          <w:szCs w:val="24"/>
        </w:rPr>
        <w:t>Theory of International Politics.</w:t>
      </w:r>
      <w:r w:rsidRPr="006D4BA1">
        <w:rPr>
          <w:rFonts w:asciiTheme="majorBidi" w:eastAsia="Times New Roman" w:hAnsiTheme="majorBidi" w:cstheme="majorBidi"/>
          <w:sz w:val="24"/>
          <w:szCs w:val="24"/>
        </w:rPr>
        <w:t xml:space="preserve"> Reading, MA: Addison-Wesley. (The foundational text outlining the structural realist view of systemic anarchy and self-help).</w:t>
      </w:r>
    </w:p>
    <w:p w14:paraId="4989DB07" w14:textId="77777777" w:rsidR="00C96DDF" w:rsidRPr="006D4BA1" w:rsidRDefault="00C96DDF" w:rsidP="00C96DDF">
      <w:pPr>
        <w:spacing w:before="100" w:beforeAutospacing="1" w:after="100" w:afterAutospacing="1"/>
        <w:rPr>
          <w:rFonts w:asciiTheme="majorBidi" w:eastAsia="Times New Roman" w:hAnsiTheme="majorBidi" w:cstheme="majorBidi"/>
          <w:sz w:val="24"/>
          <w:szCs w:val="24"/>
        </w:rPr>
      </w:pPr>
      <w:r w:rsidRPr="006D4BA1">
        <w:rPr>
          <w:rFonts w:asciiTheme="majorBidi" w:eastAsia="Times New Roman" w:hAnsiTheme="majorBidi" w:cstheme="majorBidi"/>
          <w:b/>
          <w:bCs/>
          <w:sz w:val="24"/>
          <w:szCs w:val="24"/>
        </w:rPr>
        <w:t>Ikenberry, G. J.</w:t>
      </w:r>
      <w:r w:rsidRPr="006D4BA1">
        <w:rPr>
          <w:rFonts w:asciiTheme="majorBidi" w:eastAsia="Times New Roman" w:hAnsiTheme="majorBidi" w:cstheme="majorBidi"/>
          <w:sz w:val="24"/>
          <w:szCs w:val="24"/>
        </w:rPr>
        <w:t xml:space="preserve"> </w:t>
      </w:r>
      <w:r w:rsidRPr="006D4BA1">
        <w:rPr>
          <w:rFonts w:asciiTheme="majorBidi" w:eastAsia="Times New Roman" w:hAnsiTheme="majorBidi" w:cstheme="majorBidi"/>
          <w:i/>
          <w:iCs/>
          <w:sz w:val="24"/>
          <w:szCs w:val="24"/>
        </w:rPr>
        <w:t>After Victory: Institutions, Strategic Restraint, and the Rebuilding of Order after Major Wars.</w:t>
      </w:r>
      <w:r w:rsidRPr="006D4BA1">
        <w:rPr>
          <w:rFonts w:asciiTheme="majorBidi" w:eastAsia="Times New Roman" w:hAnsiTheme="majorBidi" w:cstheme="majorBidi"/>
          <w:sz w:val="24"/>
          <w:szCs w:val="24"/>
        </w:rPr>
        <w:t xml:space="preserve"> Princeton: Princeton University Press. (Demonstrates the liberal capacity of institutional design to create durable international stability).</w:t>
      </w:r>
    </w:p>
    <w:p w14:paraId="48A4887E" w14:textId="77777777" w:rsidR="00C96DDF" w:rsidRPr="006D4BA1" w:rsidRDefault="00C96DDF" w:rsidP="00C96DDF">
      <w:pPr>
        <w:spacing w:before="100" w:beforeAutospacing="1" w:after="100" w:afterAutospacing="1"/>
        <w:rPr>
          <w:rFonts w:asciiTheme="majorBidi" w:eastAsia="Times New Roman" w:hAnsiTheme="majorBidi" w:cstheme="majorBidi"/>
          <w:sz w:val="24"/>
          <w:szCs w:val="24"/>
        </w:rPr>
      </w:pPr>
      <w:r w:rsidRPr="006D4BA1">
        <w:rPr>
          <w:rFonts w:asciiTheme="majorBidi" w:eastAsia="Times New Roman" w:hAnsiTheme="majorBidi" w:cstheme="majorBidi"/>
          <w:b/>
          <w:bCs/>
          <w:sz w:val="24"/>
          <w:szCs w:val="24"/>
        </w:rPr>
        <w:t>Hussein, M. J.</w:t>
      </w:r>
      <w:r w:rsidRPr="006D4BA1">
        <w:rPr>
          <w:rFonts w:asciiTheme="majorBidi" w:eastAsia="Times New Roman" w:hAnsiTheme="majorBidi" w:cstheme="majorBidi"/>
          <w:sz w:val="24"/>
          <w:szCs w:val="24"/>
        </w:rPr>
        <w:t xml:space="preserve"> "COVID-19 and International Relations Theory: A Comparative Analysis of Realism, Liberalism, and Constructivism." </w:t>
      </w:r>
      <w:r w:rsidRPr="006D4BA1">
        <w:rPr>
          <w:rFonts w:asciiTheme="majorBidi" w:eastAsia="Times New Roman" w:hAnsiTheme="majorBidi" w:cstheme="majorBidi"/>
          <w:i/>
          <w:iCs/>
          <w:sz w:val="24"/>
          <w:szCs w:val="24"/>
        </w:rPr>
        <w:t>International Journal of Law and Social Sciences</w:t>
      </w:r>
      <w:r w:rsidRPr="006D4BA1">
        <w:rPr>
          <w:rFonts w:asciiTheme="majorBidi" w:eastAsia="Times New Roman" w:hAnsiTheme="majorBidi" w:cstheme="majorBidi"/>
          <w:sz w:val="24"/>
          <w:szCs w:val="24"/>
        </w:rPr>
        <w:t>, vol. 2, no. 1, pp. 1-12. (An empirical case study demonstrating the analytical limits of single-paradigm approaches during contemporary non-traditional security crises). PDF+ 1</w:t>
      </w:r>
    </w:p>
    <w:p w14:paraId="17D9E5A9" w14:textId="1D4C4848" w:rsidR="00F938DE" w:rsidRPr="006D4BA1" w:rsidRDefault="00F938DE" w:rsidP="004713CB">
      <w:pPr>
        <w:spacing w:before="100" w:beforeAutospacing="1" w:after="100" w:afterAutospacing="1"/>
        <w:outlineLvl w:val="0"/>
        <w:rPr>
          <w:rFonts w:asciiTheme="majorBidi" w:eastAsia="Times New Roman" w:hAnsiTheme="majorBidi" w:cstheme="majorBidi"/>
          <w:sz w:val="24"/>
          <w:szCs w:val="24"/>
        </w:rPr>
      </w:pPr>
    </w:p>
    <w:p w14:paraId="127DBB5D" w14:textId="7C89A404" w:rsidR="00F938DE" w:rsidRPr="006D4BA1" w:rsidRDefault="00F938DE" w:rsidP="004713CB">
      <w:pPr>
        <w:spacing w:before="100" w:beforeAutospacing="1" w:after="100" w:afterAutospacing="1"/>
        <w:outlineLvl w:val="0"/>
        <w:rPr>
          <w:rFonts w:asciiTheme="majorBidi" w:eastAsia="Times New Roman" w:hAnsiTheme="majorBidi" w:cstheme="majorBidi"/>
          <w:sz w:val="24"/>
          <w:szCs w:val="24"/>
        </w:rPr>
      </w:pPr>
    </w:p>
    <w:p w14:paraId="4766275D" w14:textId="3500E2A4" w:rsidR="00F938DE" w:rsidRPr="006D4BA1" w:rsidRDefault="00F938DE" w:rsidP="004713CB">
      <w:pPr>
        <w:spacing w:before="100" w:beforeAutospacing="1" w:after="100" w:afterAutospacing="1"/>
        <w:outlineLvl w:val="0"/>
        <w:rPr>
          <w:rFonts w:asciiTheme="majorBidi" w:eastAsia="Times New Roman" w:hAnsiTheme="majorBidi" w:cstheme="majorBidi"/>
          <w:sz w:val="24"/>
          <w:szCs w:val="24"/>
        </w:rPr>
      </w:pPr>
    </w:p>
    <w:p w14:paraId="26A3D223" w14:textId="75C15CA2" w:rsidR="00F938DE" w:rsidRPr="006D4BA1" w:rsidRDefault="00F938DE" w:rsidP="004713CB">
      <w:pPr>
        <w:spacing w:before="100" w:beforeAutospacing="1" w:after="100" w:afterAutospacing="1"/>
        <w:outlineLvl w:val="0"/>
        <w:rPr>
          <w:rFonts w:asciiTheme="majorBidi" w:eastAsia="Times New Roman" w:hAnsiTheme="majorBidi" w:cstheme="majorBidi"/>
          <w:sz w:val="24"/>
          <w:szCs w:val="24"/>
        </w:rPr>
      </w:pPr>
    </w:p>
    <w:sectPr w:rsidR="00F938DE" w:rsidRPr="006D4BA1">
      <w:head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31FB" w14:textId="77777777" w:rsidR="0026494B" w:rsidRDefault="0026494B" w:rsidP="00CB51BF">
      <w:r>
        <w:separator/>
      </w:r>
    </w:p>
  </w:endnote>
  <w:endnote w:type="continuationSeparator" w:id="0">
    <w:p w14:paraId="2409D477" w14:textId="77777777" w:rsidR="0026494B" w:rsidRDefault="0026494B" w:rsidP="00CB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FD7E7" w14:textId="77777777" w:rsidR="0026494B" w:rsidRDefault="0026494B" w:rsidP="00CB51BF">
      <w:r>
        <w:separator/>
      </w:r>
    </w:p>
  </w:footnote>
  <w:footnote w:type="continuationSeparator" w:id="0">
    <w:p w14:paraId="59EF1153" w14:textId="77777777" w:rsidR="0026494B" w:rsidRDefault="0026494B" w:rsidP="00CB5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712813"/>
      <w:docPartObj>
        <w:docPartGallery w:val="Page Numbers (Top of Page)"/>
        <w:docPartUnique/>
      </w:docPartObj>
    </w:sdtPr>
    <w:sdtEndPr>
      <w:rPr>
        <w:noProof/>
      </w:rPr>
    </w:sdtEndPr>
    <w:sdtContent>
      <w:p w14:paraId="5088C0BA" w14:textId="77344F07" w:rsidR="00CB51BF" w:rsidRDefault="00CB51B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19E4D53" w14:textId="77777777" w:rsidR="00CB51BF" w:rsidRDefault="00CB5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155"/>
    <w:multiLevelType w:val="multilevel"/>
    <w:tmpl w:val="819A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A5EB0"/>
    <w:multiLevelType w:val="multilevel"/>
    <w:tmpl w:val="B9F206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42A8C"/>
    <w:multiLevelType w:val="multilevel"/>
    <w:tmpl w:val="CE7A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C5F91"/>
    <w:multiLevelType w:val="multilevel"/>
    <w:tmpl w:val="32D2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C2082"/>
    <w:multiLevelType w:val="multilevel"/>
    <w:tmpl w:val="B50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D7BA3"/>
    <w:multiLevelType w:val="multilevel"/>
    <w:tmpl w:val="C12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13D72"/>
    <w:multiLevelType w:val="multilevel"/>
    <w:tmpl w:val="2460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07B9C"/>
    <w:multiLevelType w:val="multilevel"/>
    <w:tmpl w:val="C3CC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8B1B84"/>
    <w:multiLevelType w:val="multilevel"/>
    <w:tmpl w:val="96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73D35"/>
    <w:multiLevelType w:val="multilevel"/>
    <w:tmpl w:val="A448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B70A6"/>
    <w:multiLevelType w:val="multilevel"/>
    <w:tmpl w:val="DE86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F1B1E"/>
    <w:multiLevelType w:val="multilevel"/>
    <w:tmpl w:val="E3C0BD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D5B6B"/>
    <w:multiLevelType w:val="multilevel"/>
    <w:tmpl w:val="C32C143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55708"/>
    <w:multiLevelType w:val="multilevel"/>
    <w:tmpl w:val="1E36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B11434"/>
    <w:multiLevelType w:val="multilevel"/>
    <w:tmpl w:val="A24E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301CA"/>
    <w:multiLevelType w:val="multilevel"/>
    <w:tmpl w:val="AEDC9A2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314E27"/>
    <w:multiLevelType w:val="multilevel"/>
    <w:tmpl w:val="E43A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53119E"/>
    <w:multiLevelType w:val="multilevel"/>
    <w:tmpl w:val="1816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140D11"/>
    <w:multiLevelType w:val="multilevel"/>
    <w:tmpl w:val="EC9C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213E48"/>
    <w:multiLevelType w:val="multilevel"/>
    <w:tmpl w:val="3A80D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2F4A00"/>
    <w:multiLevelType w:val="multilevel"/>
    <w:tmpl w:val="38F2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35571"/>
    <w:multiLevelType w:val="multilevel"/>
    <w:tmpl w:val="4D18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C47ABD"/>
    <w:multiLevelType w:val="multilevel"/>
    <w:tmpl w:val="F7C25F7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6656DD"/>
    <w:multiLevelType w:val="multilevel"/>
    <w:tmpl w:val="698238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61049A"/>
    <w:multiLevelType w:val="multilevel"/>
    <w:tmpl w:val="6B0E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CC6CC7"/>
    <w:multiLevelType w:val="multilevel"/>
    <w:tmpl w:val="B126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070084"/>
    <w:multiLevelType w:val="multilevel"/>
    <w:tmpl w:val="DE889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337D4B"/>
    <w:multiLevelType w:val="multilevel"/>
    <w:tmpl w:val="D5A0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FC495D"/>
    <w:multiLevelType w:val="multilevel"/>
    <w:tmpl w:val="4F5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A61B5"/>
    <w:multiLevelType w:val="multilevel"/>
    <w:tmpl w:val="6C1AADF4"/>
    <w:lvl w:ilvl="0">
      <w:start w:val="1"/>
      <w:numFmt w:val="bullet"/>
      <w:lvlText w:val=""/>
      <w:lvlJc w:val="left"/>
      <w:pPr>
        <w:tabs>
          <w:tab w:val="num" w:pos="502"/>
        </w:tabs>
        <w:ind w:left="502" w:hanging="360"/>
      </w:pPr>
      <w:rPr>
        <w:rFonts w:ascii="Wingdings" w:hAnsi="Wingdings" w:hint="default"/>
        <w:sz w:val="20"/>
      </w:rPr>
    </w:lvl>
    <w:lvl w:ilvl="1">
      <w:start w:val="1"/>
      <w:numFmt w:val="bullet"/>
      <w:lvlText w:val="o"/>
      <w:lvlJc w:val="left"/>
      <w:pPr>
        <w:tabs>
          <w:tab w:val="num" w:pos="1222"/>
        </w:tabs>
        <w:ind w:left="1222" w:hanging="360"/>
      </w:pPr>
      <w:rPr>
        <w:rFonts w:ascii="Courier New" w:hAnsi="Courier New" w:cs="Times New Roman"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30" w15:restartNumberingAfterBreak="0">
    <w:nsid w:val="4D6560EA"/>
    <w:multiLevelType w:val="multilevel"/>
    <w:tmpl w:val="6160FB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A53F25"/>
    <w:multiLevelType w:val="multilevel"/>
    <w:tmpl w:val="8020D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F45225"/>
    <w:multiLevelType w:val="multilevel"/>
    <w:tmpl w:val="4CA8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A5790B"/>
    <w:multiLevelType w:val="multilevel"/>
    <w:tmpl w:val="BCB4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C21814"/>
    <w:multiLevelType w:val="multilevel"/>
    <w:tmpl w:val="B9E6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0A47FF"/>
    <w:multiLevelType w:val="multilevel"/>
    <w:tmpl w:val="6E36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46661D"/>
    <w:multiLevelType w:val="hybridMultilevel"/>
    <w:tmpl w:val="10FAC43E"/>
    <w:lvl w:ilvl="0" w:tplc="D646B1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BC4E7A"/>
    <w:multiLevelType w:val="multilevel"/>
    <w:tmpl w:val="CE8A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C3675B"/>
    <w:multiLevelType w:val="multilevel"/>
    <w:tmpl w:val="9ADC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85444"/>
    <w:multiLevelType w:val="multilevel"/>
    <w:tmpl w:val="FD16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A6A4E"/>
    <w:multiLevelType w:val="multilevel"/>
    <w:tmpl w:val="03C2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D5989"/>
    <w:multiLevelType w:val="multilevel"/>
    <w:tmpl w:val="305C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22B5D"/>
    <w:multiLevelType w:val="multilevel"/>
    <w:tmpl w:val="9DE2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0"/>
  </w:num>
  <w:num w:numId="3">
    <w:abstractNumId w:val="16"/>
  </w:num>
  <w:num w:numId="4">
    <w:abstractNumId w:val="0"/>
  </w:num>
  <w:num w:numId="5">
    <w:abstractNumId w:val="5"/>
  </w:num>
  <w:num w:numId="6">
    <w:abstractNumId w:val="26"/>
  </w:num>
  <w:num w:numId="7">
    <w:abstractNumId w:val="15"/>
  </w:num>
  <w:num w:numId="8">
    <w:abstractNumId w:val="11"/>
  </w:num>
  <w:num w:numId="9">
    <w:abstractNumId w:val="22"/>
  </w:num>
  <w:num w:numId="10">
    <w:abstractNumId w:val="30"/>
  </w:num>
  <w:num w:numId="11">
    <w:abstractNumId w:val="12"/>
  </w:num>
  <w:num w:numId="12">
    <w:abstractNumId w:val="23"/>
  </w:num>
  <w:num w:numId="13">
    <w:abstractNumId w:val="29"/>
  </w:num>
  <w:num w:numId="14">
    <w:abstractNumId w:val="1"/>
  </w:num>
  <w:num w:numId="15">
    <w:abstractNumId w:val="36"/>
  </w:num>
  <w:num w:numId="16">
    <w:abstractNumId w:val="34"/>
  </w:num>
  <w:num w:numId="17">
    <w:abstractNumId w:val="35"/>
  </w:num>
  <w:num w:numId="18">
    <w:abstractNumId w:val="24"/>
  </w:num>
  <w:num w:numId="19">
    <w:abstractNumId w:val="14"/>
  </w:num>
  <w:num w:numId="20">
    <w:abstractNumId w:val="25"/>
  </w:num>
  <w:num w:numId="21">
    <w:abstractNumId w:val="42"/>
  </w:num>
  <w:num w:numId="22">
    <w:abstractNumId w:val="37"/>
  </w:num>
  <w:num w:numId="23">
    <w:abstractNumId w:val="33"/>
  </w:num>
  <w:num w:numId="24">
    <w:abstractNumId w:val="32"/>
  </w:num>
  <w:num w:numId="25">
    <w:abstractNumId w:val="21"/>
  </w:num>
  <w:num w:numId="26">
    <w:abstractNumId w:val="8"/>
  </w:num>
  <w:num w:numId="27">
    <w:abstractNumId w:val="9"/>
  </w:num>
  <w:num w:numId="28">
    <w:abstractNumId w:val="17"/>
  </w:num>
  <w:num w:numId="29">
    <w:abstractNumId w:val="19"/>
  </w:num>
  <w:num w:numId="30">
    <w:abstractNumId w:val="4"/>
  </w:num>
  <w:num w:numId="31">
    <w:abstractNumId w:val="41"/>
  </w:num>
  <w:num w:numId="32">
    <w:abstractNumId w:val="18"/>
  </w:num>
  <w:num w:numId="33">
    <w:abstractNumId w:val="2"/>
  </w:num>
  <w:num w:numId="34">
    <w:abstractNumId w:val="39"/>
  </w:num>
  <w:num w:numId="35">
    <w:abstractNumId w:val="27"/>
  </w:num>
  <w:num w:numId="36">
    <w:abstractNumId w:val="28"/>
  </w:num>
  <w:num w:numId="37">
    <w:abstractNumId w:val="20"/>
  </w:num>
  <w:num w:numId="38">
    <w:abstractNumId w:val="7"/>
  </w:num>
  <w:num w:numId="39">
    <w:abstractNumId w:val="13"/>
  </w:num>
  <w:num w:numId="40">
    <w:abstractNumId w:val="31"/>
  </w:num>
  <w:num w:numId="41">
    <w:abstractNumId w:val="40"/>
  </w:num>
  <w:num w:numId="42">
    <w:abstractNumId w:val="3"/>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800"/>
    <w:rsid w:val="000838F6"/>
    <w:rsid w:val="000C20D9"/>
    <w:rsid w:val="000C7B81"/>
    <w:rsid w:val="00122ECD"/>
    <w:rsid w:val="001972CE"/>
    <w:rsid w:val="002155D9"/>
    <w:rsid w:val="0026494B"/>
    <w:rsid w:val="0029357A"/>
    <w:rsid w:val="002B471A"/>
    <w:rsid w:val="002F1E50"/>
    <w:rsid w:val="002F3CEF"/>
    <w:rsid w:val="00331C9F"/>
    <w:rsid w:val="00337133"/>
    <w:rsid w:val="004713CB"/>
    <w:rsid w:val="00597A16"/>
    <w:rsid w:val="006178D7"/>
    <w:rsid w:val="006D4BA1"/>
    <w:rsid w:val="0072463F"/>
    <w:rsid w:val="008C3326"/>
    <w:rsid w:val="009112BB"/>
    <w:rsid w:val="0094461D"/>
    <w:rsid w:val="0096162E"/>
    <w:rsid w:val="00AA7733"/>
    <w:rsid w:val="00B437EC"/>
    <w:rsid w:val="00B56422"/>
    <w:rsid w:val="00B703B8"/>
    <w:rsid w:val="00BB3A49"/>
    <w:rsid w:val="00BF3800"/>
    <w:rsid w:val="00C50146"/>
    <w:rsid w:val="00C56C30"/>
    <w:rsid w:val="00C84EDA"/>
    <w:rsid w:val="00C96DDF"/>
    <w:rsid w:val="00CB51BF"/>
    <w:rsid w:val="00D054F4"/>
    <w:rsid w:val="00D41EEB"/>
    <w:rsid w:val="00E26FF9"/>
    <w:rsid w:val="00F938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08E7"/>
  <w15:chartTrackingRefBased/>
  <w15:docId w15:val="{5AEF6F38-9888-4C53-9B21-8D705A16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paragraph" w:styleId="Heading2">
    <w:name w:val="heading 2"/>
    <w:basedOn w:val="Normal"/>
    <w:link w:val="Heading2Char"/>
    <w:uiPriority w:val="9"/>
    <w:qFormat/>
    <w:rsid w:val="00597A1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938D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938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7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7B81"/>
    <w:pPr>
      <w:spacing w:after="0" w:line="240" w:lineRule="auto"/>
    </w:pPr>
  </w:style>
  <w:style w:type="character" w:styleId="Hyperlink">
    <w:name w:val="Hyperlink"/>
    <w:basedOn w:val="DefaultParagraphFont"/>
    <w:uiPriority w:val="99"/>
    <w:semiHidden/>
    <w:unhideWhenUsed/>
    <w:rsid w:val="00CB51BF"/>
    <w:rPr>
      <w:color w:val="0563C1" w:themeColor="hyperlink"/>
      <w:u w:val="single"/>
    </w:rPr>
  </w:style>
  <w:style w:type="paragraph" w:styleId="Header">
    <w:name w:val="header"/>
    <w:basedOn w:val="Normal"/>
    <w:link w:val="HeaderChar"/>
    <w:uiPriority w:val="99"/>
    <w:unhideWhenUsed/>
    <w:rsid w:val="00CB51BF"/>
    <w:pPr>
      <w:tabs>
        <w:tab w:val="center" w:pos="4680"/>
        <w:tab w:val="right" w:pos="9360"/>
      </w:tabs>
    </w:pPr>
  </w:style>
  <w:style w:type="character" w:customStyle="1" w:styleId="HeaderChar">
    <w:name w:val="Header Char"/>
    <w:basedOn w:val="DefaultParagraphFont"/>
    <w:link w:val="Header"/>
    <w:uiPriority w:val="99"/>
    <w:rsid w:val="00CB51BF"/>
  </w:style>
  <w:style w:type="paragraph" w:styleId="Footer">
    <w:name w:val="footer"/>
    <w:basedOn w:val="Normal"/>
    <w:link w:val="FooterChar"/>
    <w:uiPriority w:val="99"/>
    <w:unhideWhenUsed/>
    <w:rsid w:val="00CB51BF"/>
    <w:pPr>
      <w:tabs>
        <w:tab w:val="center" w:pos="4680"/>
        <w:tab w:val="right" w:pos="9360"/>
      </w:tabs>
    </w:pPr>
  </w:style>
  <w:style w:type="character" w:customStyle="1" w:styleId="FooterChar">
    <w:name w:val="Footer Char"/>
    <w:basedOn w:val="DefaultParagraphFont"/>
    <w:link w:val="Footer"/>
    <w:uiPriority w:val="99"/>
    <w:rsid w:val="00CB51BF"/>
  </w:style>
  <w:style w:type="paragraph" w:styleId="ListParagraph">
    <w:name w:val="List Paragraph"/>
    <w:basedOn w:val="Normal"/>
    <w:uiPriority w:val="34"/>
    <w:qFormat/>
    <w:rsid w:val="0029357A"/>
    <w:pPr>
      <w:ind w:left="720"/>
      <w:contextualSpacing/>
    </w:pPr>
  </w:style>
  <w:style w:type="character" w:customStyle="1" w:styleId="Heading2Char">
    <w:name w:val="Heading 2 Char"/>
    <w:basedOn w:val="DefaultParagraphFont"/>
    <w:link w:val="Heading2"/>
    <w:uiPriority w:val="9"/>
    <w:rsid w:val="00597A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F938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938DE"/>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31C9F"/>
    <w:rPr>
      <w:b/>
      <w:bCs/>
    </w:rPr>
  </w:style>
  <w:style w:type="paragraph" w:styleId="NormalWeb">
    <w:name w:val="Normal (Web)"/>
    <w:basedOn w:val="Normal"/>
    <w:uiPriority w:val="99"/>
    <w:unhideWhenUsed/>
    <w:rsid w:val="00331C9F"/>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C56C3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0770">
      <w:bodyDiv w:val="1"/>
      <w:marLeft w:val="0"/>
      <w:marRight w:val="0"/>
      <w:marTop w:val="0"/>
      <w:marBottom w:val="0"/>
      <w:divBdr>
        <w:top w:val="none" w:sz="0" w:space="0" w:color="auto"/>
        <w:left w:val="none" w:sz="0" w:space="0" w:color="auto"/>
        <w:bottom w:val="none" w:sz="0" w:space="0" w:color="auto"/>
        <w:right w:val="none" w:sz="0" w:space="0" w:color="auto"/>
      </w:divBdr>
      <w:divsChild>
        <w:div w:id="717120893">
          <w:marLeft w:val="0"/>
          <w:marRight w:val="0"/>
          <w:marTop w:val="0"/>
          <w:marBottom w:val="0"/>
          <w:divBdr>
            <w:top w:val="none" w:sz="0" w:space="0" w:color="auto"/>
            <w:left w:val="none" w:sz="0" w:space="0" w:color="auto"/>
            <w:bottom w:val="none" w:sz="0" w:space="0" w:color="auto"/>
            <w:right w:val="none" w:sz="0" w:space="0" w:color="auto"/>
          </w:divBdr>
          <w:divsChild>
            <w:div w:id="248277891">
              <w:marLeft w:val="0"/>
              <w:marRight w:val="0"/>
              <w:marTop w:val="0"/>
              <w:marBottom w:val="0"/>
              <w:divBdr>
                <w:top w:val="none" w:sz="0" w:space="0" w:color="auto"/>
                <w:left w:val="none" w:sz="0" w:space="0" w:color="auto"/>
                <w:bottom w:val="none" w:sz="0" w:space="0" w:color="auto"/>
                <w:right w:val="none" w:sz="0" w:space="0" w:color="auto"/>
              </w:divBdr>
              <w:divsChild>
                <w:div w:id="62145147">
                  <w:marLeft w:val="0"/>
                  <w:marRight w:val="0"/>
                  <w:marTop w:val="0"/>
                  <w:marBottom w:val="0"/>
                  <w:divBdr>
                    <w:top w:val="none" w:sz="0" w:space="0" w:color="auto"/>
                    <w:left w:val="none" w:sz="0" w:space="0" w:color="auto"/>
                    <w:bottom w:val="none" w:sz="0" w:space="0" w:color="auto"/>
                    <w:right w:val="none" w:sz="0" w:space="0" w:color="auto"/>
                  </w:divBdr>
                  <w:divsChild>
                    <w:div w:id="1980378956">
                      <w:marLeft w:val="0"/>
                      <w:marRight w:val="0"/>
                      <w:marTop w:val="0"/>
                      <w:marBottom w:val="0"/>
                      <w:divBdr>
                        <w:top w:val="none" w:sz="0" w:space="0" w:color="auto"/>
                        <w:left w:val="none" w:sz="0" w:space="0" w:color="auto"/>
                        <w:bottom w:val="none" w:sz="0" w:space="0" w:color="auto"/>
                        <w:right w:val="none" w:sz="0" w:space="0" w:color="auto"/>
                      </w:divBdr>
                      <w:divsChild>
                        <w:div w:id="55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4934">
                  <w:marLeft w:val="0"/>
                  <w:marRight w:val="0"/>
                  <w:marTop w:val="0"/>
                  <w:marBottom w:val="0"/>
                  <w:divBdr>
                    <w:top w:val="none" w:sz="0" w:space="0" w:color="auto"/>
                    <w:left w:val="none" w:sz="0" w:space="0" w:color="auto"/>
                    <w:bottom w:val="none" w:sz="0" w:space="0" w:color="auto"/>
                    <w:right w:val="none" w:sz="0" w:space="0" w:color="auto"/>
                  </w:divBdr>
                  <w:divsChild>
                    <w:div w:id="124010661">
                      <w:marLeft w:val="0"/>
                      <w:marRight w:val="0"/>
                      <w:marTop w:val="0"/>
                      <w:marBottom w:val="0"/>
                      <w:divBdr>
                        <w:top w:val="none" w:sz="0" w:space="0" w:color="auto"/>
                        <w:left w:val="none" w:sz="0" w:space="0" w:color="auto"/>
                        <w:bottom w:val="none" w:sz="0" w:space="0" w:color="auto"/>
                        <w:right w:val="none" w:sz="0" w:space="0" w:color="auto"/>
                      </w:divBdr>
                      <w:divsChild>
                        <w:div w:id="1482884897">
                          <w:marLeft w:val="0"/>
                          <w:marRight w:val="0"/>
                          <w:marTop w:val="0"/>
                          <w:marBottom w:val="0"/>
                          <w:divBdr>
                            <w:top w:val="none" w:sz="0" w:space="0" w:color="auto"/>
                            <w:left w:val="none" w:sz="0" w:space="0" w:color="auto"/>
                            <w:bottom w:val="none" w:sz="0" w:space="0" w:color="auto"/>
                            <w:right w:val="none" w:sz="0" w:space="0" w:color="auto"/>
                          </w:divBdr>
                          <w:divsChild>
                            <w:div w:id="19297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19930">
                  <w:marLeft w:val="0"/>
                  <w:marRight w:val="0"/>
                  <w:marTop w:val="0"/>
                  <w:marBottom w:val="0"/>
                  <w:divBdr>
                    <w:top w:val="none" w:sz="0" w:space="0" w:color="auto"/>
                    <w:left w:val="none" w:sz="0" w:space="0" w:color="auto"/>
                    <w:bottom w:val="none" w:sz="0" w:space="0" w:color="auto"/>
                    <w:right w:val="none" w:sz="0" w:space="0" w:color="auto"/>
                  </w:divBdr>
                  <w:divsChild>
                    <w:div w:id="536549318">
                      <w:marLeft w:val="0"/>
                      <w:marRight w:val="0"/>
                      <w:marTop w:val="0"/>
                      <w:marBottom w:val="0"/>
                      <w:divBdr>
                        <w:top w:val="none" w:sz="0" w:space="0" w:color="auto"/>
                        <w:left w:val="none" w:sz="0" w:space="0" w:color="auto"/>
                        <w:bottom w:val="none" w:sz="0" w:space="0" w:color="auto"/>
                        <w:right w:val="none" w:sz="0" w:space="0" w:color="auto"/>
                      </w:divBdr>
                      <w:divsChild>
                        <w:div w:id="2765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22224">
                  <w:marLeft w:val="0"/>
                  <w:marRight w:val="0"/>
                  <w:marTop w:val="0"/>
                  <w:marBottom w:val="0"/>
                  <w:divBdr>
                    <w:top w:val="none" w:sz="0" w:space="0" w:color="auto"/>
                    <w:left w:val="none" w:sz="0" w:space="0" w:color="auto"/>
                    <w:bottom w:val="none" w:sz="0" w:space="0" w:color="auto"/>
                    <w:right w:val="none" w:sz="0" w:space="0" w:color="auto"/>
                  </w:divBdr>
                  <w:divsChild>
                    <w:div w:id="24900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07762">
      <w:bodyDiv w:val="1"/>
      <w:marLeft w:val="0"/>
      <w:marRight w:val="0"/>
      <w:marTop w:val="0"/>
      <w:marBottom w:val="0"/>
      <w:divBdr>
        <w:top w:val="none" w:sz="0" w:space="0" w:color="auto"/>
        <w:left w:val="none" w:sz="0" w:space="0" w:color="auto"/>
        <w:bottom w:val="none" w:sz="0" w:space="0" w:color="auto"/>
        <w:right w:val="none" w:sz="0" w:space="0" w:color="auto"/>
      </w:divBdr>
      <w:divsChild>
        <w:div w:id="1162164068">
          <w:marLeft w:val="0"/>
          <w:marRight w:val="0"/>
          <w:marTop w:val="0"/>
          <w:marBottom w:val="0"/>
          <w:divBdr>
            <w:top w:val="none" w:sz="0" w:space="0" w:color="auto"/>
            <w:left w:val="none" w:sz="0" w:space="0" w:color="auto"/>
            <w:bottom w:val="none" w:sz="0" w:space="0" w:color="auto"/>
            <w:right w:val="none" w:sz="0" w:space="0" w:color="auto"/>
          </w:divBdr>
          <w:divsChild>
            <w:div w:id="897547327">
              <w:marLeft w:val="0"/>
              <w:marRight w:val="0"/>
              <w:marTop w:val="0"/>
              <w:marBottom w:val="0"/>
              <w:divBdr>
                <w:top w:val="none" w:sz="0" w:space="0" w:color="auto"/>
                <w:left w:val="none" w:sz="0" w:space="0" w:color="auto"/>
                <w:bottom w:val="none" w:sz="0" w:space="0" w:color="auto"/>
                <w:right w:val="none" w:sz="0" w:space="0" w:color="auto"/>
              </w:divBdr>
              <w:divsChild>
                <w:div w:id="1496995884">
                  <w:marLeft w:val="0"/>
                  <w:marRight w:val="0"/>
                  <w:marTop w:val="0"/>
                  <w:marBottom w:val="0"/>
                  <w:divBdr>
                    <w:top w:val="none" w:sz="0" w:space="0" w:color="auto"/>
                    <w:left w:val="none" w:sz="0" w:space="0" w:color="auto"/>
                    <w:bottom w:val="none" w:sz="0" w:space="0" w:color="auto"/>
                    <w:right w:val="none" w:sz="0" w:space="0" w:color="auto"/>
                  </w:divBdr>
                </w:div>
                <w:div w:id="799349491">
                  <w:marLeft w:val="0"/>
                  <w:marRight w:val="0"/>
                  <w:marTop w:val="0"/>
                  <w:marBottom w:val="0"/>
                  <w:divBdr>
                    <w:top w:val="none" w:sz="0" w:space="0" w:color="auto"/>
                    <w:left w:val="none" w:sz="0" w:space="0" w:color="auto"/>
                    <w:bottom w:val="none" w:sz="0" w:space="0" w:color="auto"/>
                    <w:right w:val="none" w:sz="0" w:space="0" w:color="auto"/>
                  </w:divBdr>
                </w:div>
                <w:div w:id="2095710229">
                  <w:marLeft w:val="0"/>
                  <w:marRight w:val="0"/>
                  <w:marTop w:val="0"/>
                  <w:marBottom w:val="0"/>
                  <w:divBdr>
                    <w:top w:val="none" w:sz="0" w:space="0" w:color="auto"/>
                    <w:left w:val="none" w:sz="0" w:space="0" w:color="auto"/>
                    <w:bottom w:val="none" w:sz="0" w:space="0" w:color="auto"/>
                    <w:right w:val="none" w:sz="0" w:space="0" w:color="auto"/>
                  </w:divBdr>
                </w:div>
                <w:div w:id="730689501">
                  <w:marLeft w:val="0"/>
                  <w:marRight w:val="0"/>
                  <w:marTop w:val="0"/>
                  <w:marBottom w:val="0"/>
                  <w:divBdr>
                    <w:top w:val="none" w:sz="0" w:space="0" w:color="auto"/>
                    <w:left w:val="none" w:sz="0" w:space="0" w:color="auto"/>
                    <w:bottom w:val="none" w:sz="0" w:space="0" w:color="auto"/>
                    <w:right w:val="none" w:sz="0" w:space="0" w:color="auto"/>
                  </w:divBdr>
                </w:div>
                <w:div w:id="589967905">
                  <w:marLeft w:val="0"/>
                  <w:marRight w:val="0"/>
                  <w:marTop w:val="0"/>
                  <w:marBottom w:val="0"/>
                  <w:divBdr>
                    <w:top w:val="none" w:sz="0" w:space="0" w:color="auto"/>
                    <w:left w:val="none" w:sz="0" w:space="0" w:color="auto"/>
                    <w:bottom w:val="none" w:sz="0" w:space="0" w:color="auto"/>
                    <w:right w:val="none" w:sz="0" w:space="0" w:color="auto"/>
                  </w:divBdr>
                </w:div>
              </w:divsChild>
            </w:div>
            <w:div w:id="22749598">
              <w:marLeft w:val="0"/>
              <w:marRight w:val="0"/>
              <w:marTop w:val="0"/>
              <w:marBottom w:val="0"/>
              <w:divBdr>
                <w:top w:val="none" w:sz="0" w:space="0" w:color="auto"/>
                <w:left w:val="none" w:sz="0" w:space="0" w:color="auto"/>
                <w:bottom w:val="none" w:sz="0" w:space="0" w:color="auto"/>
                <w:right w:val="none" w:sz="0" w:space="0" w:color="auto"/>
              </w:divBdr>
              <w:divsChild>
                <w:div w:id="1381369169">
                  <w:marLeft w:val="0"/>
                  <w:marRight w:val="0"/>
                  <w:marTop w:val="0"/>
                  <w:marBottom w:val="0"/>
                  <w:divBdr>
                    <w:top w:val="none" w:sz="0" w:space="0" w:color="auto"/>
                    <w:left w:val="none" w:sz="0" w:space="0" w:color="auto"/>
                    <w:bottom w:val="none" w:sz="0" w:space="0" w:color="auto"/>
                    <w:right w:val="none" w:sz="0" w:space="0" w:color="auto"/>
                  </w:divBdr>
                </w:div>
                <w:div w:id="150340408">
                  <w:marLeft w:val="0"/>
                  <w:marRight w:val="0"/>
                  <w:marTop w:val="0"/>
                  <w:marBottom w:val="0"/>
                  <w:divBdr>
                    <w:top w:val="none" w:sz="0" w:space="0" w:color="auto"/>
                    <w:left w:val="none" w:sz="0" w:space="0" w:color="auto"/>
                    <w:bottom w:val="none" w:sz="0" w:space="0" w:color="auto"/>
                    <w:right w:val="none" w:sz="0" w:space="0" w:color="auto"/>
                  </w:divBdr>
                </w:div>
                <w:div w:id="1964770954">
                  <w:marLeft w:val="0"/>
                  <w:marRight w:val="0"/>
                  <w:marTop w:val="0"/>
                  <w:marBottom w:val="0"/>
                  <w:divBdr>
                    <w:top w:val="none" w:sz="0" w:space="0" w:color="auto"/>
                    <w:left w:val="none" w:sz="0" w:space="0" w:color="auto"/>
                    <w:bottom w:val="none" w:sz="0" w:space="0" w:color="auto"/>
                    <w:right w:val="none" w:sz="0" w:space="0" w:color="auto"/>
                  </w:divBdr>
                </w:div>
                <w:div w:id="1459108819">
                  <w:marLeft w:val="0"/>
                  <w:marRight w:val="0"/>
                  <w:marTop w:val="0"/>
                  <w:marBottom w:val="0"/>
                  <w:divBdr>
                    <w:top w:val="none" w:sz="0" w:space="0" w:color="auto"/>
                    <w:left w:val="none" w:sz="0" w:space="0" w:color="auto"/>
                    <w:bottom w:val="none" w:sz="0" w:space="0" w:color="auto"/>
                    <w:right w:val="none" w:sz="0" w:space="0" w:color="auto"/>
                  </w:divBdr>
                </w:div>
                <w:div w:id="4229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467241">
      <w:bodyDiv w:val="1"/>
      <w:marLeft w:val="0"/>
      <w:marRight w:val="0"/>
      <w:marTop w:val="0"/>
      <w:marBottom w:val="0"/>
      <w:divBdr>
        <w:top w:val="none" w:sz="0" w:space="0" w:color="auto"/>
        <w:left w:val="none" w:sz="0" w:space="0" w:color="auto"/>
        <w:bottom w:val="none" w:sz="0" w:space="0" w:color="auto"/>
        <w:right w:val="none" w:sz="0" w:space="0" w:color="auto"/>
      </w:divBdr>
      <w:divsChild>
        <w:div w:id="1943486869">
          <w:marLeft w:val="0"/>
          <w:marRight w:val="0"/>
          <w:marTop w:val="0"/>
          <w:marBottom w:val="0"/>
          <w:divBdr>
            <w:top w:val="none" w:sz="0" w:space="0" w:color="auto"/>
            <w:left w:val="none" w:sz="0" w:space="0" w:color="auto"/>
            <w:bottom w:val="none" w:sz="0" w:space="0" w:color="auto"/>
            <w:right w:val="none" w:sz="0" w:space="0" w:color="auto"/>
          </w:divBdr>
          <w:divsChild>
            <w:div w:id="71554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0146">
      <w:bodyDiv w:val="1"/>
      <w:marLeft w:val="0"/>
      <w:marRight w:val="0"/>
      <w:marTop w:val="0"/>
      <w:marBottom w:val="0"/>
      <w:divBdr>
        <w:top w:val="none" w:sz="0" w:space="0" w:color="auto"/>
        <w:left w:val="none" w:sz="0" w:space="0" w:color="auto"/>
        <w:bottom w:val="none" w:sz="0" w:space="0" w:color="auto"/>
        <w:right w:val="none" w:sz="0" w:space="0" w:color="auto"/>
      </w:divBdr>
    </w:div>
    <w:div w:id="723872382">
      <w:bodyDiv w:val="1"/>
      <w:marLeft w:val="0"/>
      <w:marRight w:val="0"/>
      <w:marTop w:val="0"/>
      <w:marBottom w:val="0"/>
      <w:divBdr>
        <w:top w:val="none" w:sz="0" w:space="0" w:color="auto"/>
        <w:left w:val="none" w:sz="0" w:space="0" w:color="auto"/>
        <w:bottom w:val="none" w:sz="0" w:space="0" w:color="auto"/>
        <w:right w:val="none" w:sz="0" w:space="0" w:color="auto"/>
      </w:divBdr>
    </w:div>
    <w:div w:id="774322525">
      <w:bodyDiv w:val="1"/>
      <w:marLeft w:val="0"/>
      <w:marRight w:val="0"/>
      <w:marTop w:val="0"/>
      <w:marBottom w:val="0"/>
      <w:divBdr>
        <w:top w:val="none" w:sz="0" w:space="0" w:color="auto"/>
        <w:left w:val="none" w:sz="0" w:space="0" w:color="auto"/>
        <w:bottom w:val="none" w:sz="0" w:space="0" w:color="auto"/>
        <w:right w:val="none" w:sz="0" w:space="0" w:color="auto"/>
      </w:divBdr>
    </w:div>
    <w:div w:id="1055928433">
      <w:bodyDiv w:val="1"/>
      <w:marLeft w:val="0"/>
      <w:marRight w:val="0"/>
      <w:marTop w:val="0"/>
      <w:marBottom w:val="0"/>
      <w:divBdr>
        <w:top w:val="none" w:sz="0" w:space="0" w:color="auto"/>
        <w:left w:val="none" w:sz="0" w:space="0" w:color="auto"/>
        <w:bottom w:val="none" w:sz="0" w:space="0" w:color="auto"/>
        <w:right w:val="none" w:sz="0" w:space="0" w:color="auto"/>
      </w:divBdr>
    </w:div>
    <w:div w:id="1177230501">
      <w:bodyDiv w:val="1"/>
      <w:marLeft w:val="0"/>
      <w:marRight w:val="0"/>
      <w:marTop w:val="0"/>
      <w:marBottom w:val="0"/>
      <w:divBdr>
        <w:top w:val="none" w:sz="0" w:space="0" w:color="auto"/>
        <w:left w:val="none" w:sz="0" w:space="0" w:color="auto"/>
        <w:bottom w:val="none" w:sz="0" w:space="0" w:color="auto"/>
        <w:right w:val="none" w:sz="0" w:space="0" w:color="auto"/>
      </w:divBdr>
    </w:div>
    <w:div w:id="1191146592">
      <w:bodyDiv w:val="1"/>
      <w:marLeft w:val="0"/>
      <w:marRight w:val="0"/>
      <w:marTop w:val="0"/>
      <w:marBottom w:val="0"/>
      <w:divBdr>
        <w:top w:val="none" w:sz="0" w:space="0" w:color="auto"/>
        <w:left w:val="none" w:sz="0" w:space="0" w:color="auto"/>
        <w:bottom w:val="none" w:sz="0" w:space="0" w:color="auto"/>
        <w:right w:val="none" w:sz="0" w:space="0" w:color="auto"/>
      </w:divBdr>
    </w:div>
    <w:div w:id="1352295308">
      <w:bodyDiv w:val="1"/>
      <w:marLeft w:val="0"/>
      <w:marRight w:val="0"/>
      <w:marTop w:val="0"/>
      <w:marBottom w:val="0"/>
      <w:divBdr>
        <w:top w:val="none" w:sz="0" w:space="0" w:color="auto"/>
        <w:left w:val="none" w:sz="0" w:space="0" w:color="auto"/>
        <w:bottom w:val="none" w:sz="0" w:space="0" w:color="auto"/>
        <w:right w:val="none" w:sz="0" w:space="0" w:color="auto"/>
      </w:divBdr>
    </w:div>
    <w:div w:id="1369526187">
      <w:bodyDiv w:val="1"/>
      <w:marLeft w:val="0"/>
      <w:marRight w:val="0"/>
      <w:marTop w:val="0"/>
      <w:marBottom w:val="0"/>
      <w:divBdr>
        <w:top w:val="none" w:sz="0" w:space="0" w:color="auto"/>
        <w:left w:val="none" w:sz="0" w:space="0" w:color="auto"/>
        <w:bottom w:val="none" w:sz="0" w:space="0" w:color="auto"/>
        <w:right w:val="none" w:sz="0" w:space="0" w:color="auto"/>
      </w:divBdr>
      <w:divsChild>
        <w:div w:id="445003333">
          <w:marLeft w:val="0"/>
          <w:marRight w:val="0"/>
          <w:marTop w:val="0"/>
          <w:marBottom w:val="0"/>
          <w:divBdr>
            <w:top w:val="none" w:sz="0" w:space="0" w:color="auto"/>
            <w:left w:val="none" w:sz="0" w:space="0" w:color="auto"/>
            <w:bottom w:val="none" w:sz="0" w:space="0" w:color="auto"/>
            <w:right w:val="none" w:sz="0" w:space="0" w:color="auto"/>
          </w:divBdr>
          <w:divsChild>
            <w:div w:id="1278411573">
              <w:marLeft w:val="0"/>
              <w:marRight w:val="0"/>
              <w:marTop w:val="0"/>
              <w:marBottom w:val="0"/>
              <w:divBdr>
                <w:top w:val="none" w:sz="0" w:space="0" w:color="auto"/>
                <w:left w:val="none" w:sz="0" w:space="0" w:color="auto"/>
                <w:bottom w:val="none" w:sz="0" w:space="0" w:color="auto"/>
                <w:right w:val="none" w:sz="0" w:space="0" w:color="auto"/>
              </w:divBdr>
              <w:divsChild>
                <w:div w:id="4629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5312">
      <w:bodyDiv w:val="1"/>
      <w:marLeft w:val="0"/>
      <w:marRight w:val="0"/>
      <w:marTop w:val="0"/>
      <w:marBottom w:val="0"/>
      <w:divBdr>
        <w:top w:val="none" w:sz="0" w:space="0" w:color="auto"/>
        <w:left w:val="none" w:sz="0" w:space="0" w:color="auto"/>
        <w:bottom w:val="none" w:sz="0" w:space="0" w:color="auto"/>
        <w:right w:val="none" w:sz="0" w:space="0" w:color="auto"/>
      </w:divBdr>
    </w:div>
    <w:div w:id="1520781442">
      <w:bodyDiv w:val="1"/>
      <w:marLeft w:val="0"/>
      <w:marRight w:val="0"/>
      <w:marTop w:val="0"/>
      <w:marBottom w:val="0"/>
      <w:divBdr>
        <w:top w:val="none" w:sz="0" w:space="0" w:color="auto"/>
        <w:left w:val="none" w:sz="0" w:space="0" w:color="auto"/>
        <w:bottom w:val="none" w:sz="0" w:space="0" w:color="auto"/>
        <w:right w:val="none" w:sz="0" w:space="0" w:color="auto"/>
      </w:divBdr>
      <w:divsChild>
        <w:div w:id="2128114155">
          <w:marLeft w:val="0"/>
          <w:marRight w:val="0"/>
          <w:marTop w:val="0"/>
          <w:marBottom w:val="0"/>
          <w:divBdr>
            <w:top w:val="none" w:sz="0" w:space="0" w:color="auto"/>
            <w:left w:val="none" w:sz="0" w:space="0" w:color="auto"/>
            <w:bottom w:val="none" w:sz="0" w:space="0" w:color="auto"/>
            <w:right w:val="none" w:sz="0" w:space="0" w:color="auto"/>
          </w:divBdr>
          <w:divsChild>
            <w:div w:id="258220361">
              <w:marLeft w:val="0"/>
              <w:marRight w:val="0"/>
              <w:marTop w:val="0"/>
              <w:marBottom w:val="0"/>
              <w:divBdr>
                <w:top w:val="none" w:sz="0" w:space="0" w:color="auto"/>
                <w:left w:val="none" w:sz="0" w:space="0" w:color="auto"/>
                <w:bottom w:val="none" w:sz="0" w:space="0" w:color="auto"/>
                <w:right w:val="none" w:sz="0" w:space="0" w:color="auto"/>
              </w:divBdr>
              <w:divsChild>
                <w:div w:id="127339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0654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643979">
          <w:marLeft w:val="0"/>
          <w:marRight w:val="0"/>
          <w:marTop w:val="0"/>
          <w:marBottom w:val="0"/>
          <w:divBdr>
            <w:top w:val="none" w:sz="0" w:space="0" w:color="auto"/>
            <w:left w:val="none" w:sz="0" w:space="0" w:color="auto"/>
            <w:bottom w:val="none" w:sz="0" w:space="0" w:color="auto"/>
            <w:right w:val="none" w:sz="0" w:space="0" w:color="auto"/>
          </w:divBdr>
          <w:divsChild>
            <w:div w:id="814955858">
              <w:marLeft w:val="0"/>
              <w:marRight w:val="0"/>
              <w:marTop w:val="0"/>
              <w:marBottom w:val="0"/>
              <w:divBdr>
                <w:top w:val="none" w:sz="0" w:space="0" w:color="auto"/>
                <w:left w:val="none" w:sz="0" w:space="0" w:color="auto"/>
                <w:bottom w:val="none" w:sz="0" w:space="0" w:color="auto"/>
                <w:right w:val="none" w:sz="0" w:space="0" w:color="auto"/>
              </w:divBdr>
              <w:divsChild>
                <w:div w:id="18526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1830">
          <w:marLeft w:val="0"/>
          <w:marRight w:val="0"/>
          <w:marTop w:val="0"/>
          <w:marBottom w:val="0"/>
          <w:divBdr>
            <w:top w:val="none" w:sz="0" w:space="0" w:color="auto"/>
            <w:left w:val="none" w:sz="0" w:space="0" w:color="auto"/>
            <w:bottom w:val="none" w:sz="0" w:space="0" w:color="auto"/>
            <w:right w:val="none" w:sz="0" w:space="0" w:color="auto"/>
          </w:divBdr>
          <w:divsChild>
            <w:div w:id="1477801218">
              <w:marLeft w:val="0"/>
              <w:marRight w:val="0"/>
              <w:marTop w:val="0"/>
              <w:marBottom w:val="0"/>
              <w:divBdr>
                <w:top w:val="none" w:sz="0" w:space="0" w:color="auto"/>
                <w:left w:val="none" w:sz="0" w:space="0" w:color="auto"/>
                <w:bottom w:val="none" w:sz="0" w:space="0" w:color="auto"/>
                <w:right w:val="none" w:sz="0" w:space="0" w:color="auto"/>
              </w:divBdr>
              <w:divsChild>
                <w:div w:id="7957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73767">
          <w:marLeft w:val="0"/>
          <w:marRight w:val="0"/>
          <w:marTop w:val="0"/>
          <w:marBottom w:val="0"/>
          <w:divBdr>
            <w:top w:val="none" w:sz="0" w:space="0" w:color="auto"/>
            <w:left w:val="none" w:sz="0" w:space="0" w:color="auto"/>
            <w:bottom w:val="none" w:sz="0" w:space="0" w:color="auto"/>
            <w:right w:val="none" w:sz="0" w:space="0" w:color="auto"/>
          </w:divBdr>
          <w:divsChild>
            <w:div w:id="1822886033">
              <w:marLeft w:val="0"/>
              <w:marRight w:val="0"/>
              <w:marTop w:val="0"/>
              <w:marBottom w:val="0"/>
              <w:divBdr>
                <w:top w:val="none" w:sz="0" w:space="0" w:color="auto"/>
                <w:left w:val="none" w:sz="0" w:space="0" w:color="auto"/>
                <w:bottom w:val="none" w:sz="0" w:space="0" w:color="auto"/>
                <w:right w:val="none" w:sz="0" w:space="0" w:color="auto"/>
              </w:divBdr>
              <w:divsChild>
                <w:div w:id="12774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92835">
      <w:bodyDiv w:val="1"/>
      <w:marLeft w:val="0"/>
      <w:marRight w:val="0"/>
      <w:marTop w:val="0"/>
      <w:marBottom w:val="0"/>
      <w:divBdr>
        <w:top w:val="none" w:sz="0" w:space="0" w:color="auto"/>
        <w:left w:val="none" w:sz="0" w:space="0" w:color="auto"/>
        <w:bottom w:val="none" w:sz="0" w:space="0" w:color="auto"/>
        <w:right w:val="none" w:sz="0" w:space="0" w:color="auto"/>
      </w:divBdr>
    </w:div>
    <w:div w:id="1811558701">
      <w:bodyDiv w:val="1"/>
      <w:marLeft w:val="0"/>
      <w:marRight w:val="0"/>
      <w:marTop w:val="0"/>
      <w:marBottom w:val="0"/>
      <w:divBdr>
        <w:top w:val="none" w:sz="0" w:space="0" w:color="auto"/>
        <w:left w:val="none" w:sz="0" w:space="0" w:color="auto"/>
        <w:bottom w:val="none" w:sz="0" w:space="0" w:color="auto"/>
        <w:right w:val="none" w:sz="0" w:space="0" w:color="auto"/>
      </w:divBdr>
    </w:div>
    <w:div w:id="1858805313">
      <w:bodyDiv w:val="1"/>
      <w:marLeft w:val="0"/>
      <w:marRight w:val="0"/>
      <w:marTop w:val="0"/>
      <w:marBottom w:val="0"/>
      <w:divBdr>
        <w:top w:val="none" w:sz="0" w:space="0" w:color="auto"/>
        <w:left w:val="none" w:sz="0" w:space="0" w:color="auto"/>
        <w:bottom w:val="none" w:sz="0" w:space="0" w:color="auto"/>
        <w:right w:val="none" w:sz="0" w:space="0" w:color="auto"/>
      </w:divBdr>
    </w:div>
    <w:div w:id="1900479445">
      <w:bodyDiv w:val="1"/>
      <w:marLeft w:val="0"/>
      <w:marRight w:val="0"/>
      <w:marTop w:val="0"/>
      <w:marBottom w:val="0"/>
      <w:divBdr>
        <w:top w:val="none" w:sz="0" w:space="0" w:color="auto"/>
        <w:left w:val="none" w:sz="0" w:space="0" w:color="auto"/>
        <w:bottom w:val="none" w:sz="0" w:space="0" w:color="auto"/>
        <w:right w:val="none" w:sz="0" w:space="0" w:color="auto"/>
      </w:divBdr>
      <w:divsChild>
        <w:div w:id="1808165655">
          <w:marLeft w:val="0"/>
          <w:marRight w:val="0"/>
          <w:marTop w:val="0"/>
          <w:marBottom w:val="0"/>
          <w:divBdr>
            <w:top w:val="none" w:sz="0" w:space="0" w:color="auto"/>
            <w:left w:val="none" w:sz="0" w:space="0" w:color="auto"/>
            <w:bottom w:val="none" w:sz="0" w:space="0" w:color="auto"/>
            <w:right w:val="none" w:sz="0" w:space="0" w:color="auto"/>
          </w:divBdr>
          <w:divsChild>
            <w:div w:id="13096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89641">
      <w:bodyDiv w:val="1"/>
      <w:marLeft w:val="0"/>
      <w:marRight w:val="0"/>
      <w:marTop w:val="0"/>
      <w:marBottom w:val="0"/>
      <w:divBdr>
        <w:top w:val="none" w:sz="0" w:space="0" w:color="auto"/>
        <w:left w:val="none" w:sz="0" w:space="0" w:color="auto"/>
        <w:bottom w:val="none" w:sz="0" w:space="0" w:color="auto"/>
        <w:right w:val="none" w:sz="0" w:space="0" w:color="auto"/>
      </w:divBdr>
      <w:divsChild>
        <w:div w:id="1235044020">
          <w:marLeft w:val="0"/>
          <w:marRight w:val="0"/>
          <w:marTop w:val="0"/>
          <w:marBottom w:val="0"/>
          <w:divBdr>
            <w:top w:val="none" w:sz="0" w:space="0" w:color="auto"/>
            <w:left w:val="none" w:sz="0" w:space="0" w:color="auto"/>
            <w:bottom w:val="none" w:sz="0" w:space="0" w:color="auto"/>
            <w:right w:val="none" w:sz="0" w:space="0" w:color="auto"/>
          </w:divBdr>
          <w:divsChild>
            <w:div w:id="770010231">
              <w:marLeft w:val="0"/>
              <w:marRight w:val="0"/>
              <w:marTop w:val="0"/>
              <w:marBottom w:val="0"/>
              <w:divBdr>
                <w:top w:val="none" w:sz="0" w:space="0" w:color="auto"/>
                <w:left w:val="none" w:sz="0" w:space="0" w:color="auto"/>
                <w:bottom w:val="none" w:sz="0" w:space="0" w:color="auto"/>
                <w:right w:val="none" w:sz="0" w:space="0" w:color="auto"/>
              </w:divBdr>
              <w:divsChild>
                <w:div w:id="425272911">
                  <w:marLeft w:val="0"/>
                  <w:marRight w:val="0"/>
                  <w:marTop w:val="0"/>
                  <w:marBottom w:val="0"/>
                  <w:divBdr>
                    <w:top w:val="none" w:sz="0" w:space="0" w:color="auto"/>
                    <w:left w:val="none" w:sz="0" w:space="0" w:color="auto"/>
                    <w:bottom w:val="none" w:sz="0" w:space="0" w:color="auto"/>
                    <w:right w:val="none" w:sz="0" w:space="0" w:color="auto"/>
                  </w:divBdr>
                  <w:divsChild>
                    <w:div w:id="244609680">
                      <w:marLeft w:val="0"/>
                      <w:marRight w:val="0"/>
                      <w:marTop w:val="0"/>
                      <w:marBottom w:val="0"/>
                      <w:divBdr>
                        <w:top w:val="none" w:sz="0" w:space="0" w:color="auto"/>
                        <w:left w:val="none" w:sz="0" w:space="0" w:color="auto"/>
                        <w:bottom w:val="none" w:sz="0" w:space="0" w:color="auto"/>
                        <w:right w:val="none" w:sz="0" w:space="0" w:color="auto"/>
                      </w:divBdr>
                      <w:divsChild>
                        <w:div w:id="201202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05604">
                  <w:marLeft w:val="0"/>
                  <w:marRight w:val="0"/>
                  <w:marTop w:val="0"/>
                  <w:marBottom w:val="0"/>
                  <w:divBdr>
                    <w:top w:val="none" w:sz="0" w:space="0" w:color="auto"/>
                    <w:left w:val="none" w:sz="0" w:space="0" w:color="auto"/>
                    <w:bottom w:val="none" w:sz="0" w:space="0" w:color="auto"/>
                    <w:right w:val="none" w:sz="0" w:space="0" w:color="auto"/>
                  </w:divBdr>
                  <w:divsChild>
                    <w:div w:id="676734627">
                      <w:marLeft w:val="0"/>
                      <w:marRight w:val="0"/>
                      <w:marTop w:val="0"/>
                      <w:marBottom w:val="0"/>
                      <w:divBdr>
                        <w:top w:val="none" w:sz="0" w:space="0" w:color="auto"/>
                        <w:left w:val="none" w:sz="0" w:space="0" w:color="auto"/>
                        <w:bottom w:val="none" w:sz="0" w:space="0" w:color="auto"/>
                        <w:right w:val="none" w:sz="0" w:space="0" w:color="auto"/>
                      </w:divBdr>
                      <w:divsChild>
                        <w:div w:id="1054621178">
                          <w:marLeft w:val="0"/>
                          <w:marRight w:val="0"/>
                          <w:marTop w:val="0"/>
                          <w:marBottom w:val="0"/>
                          <w:divBdr>
                            <w:top w:val="none" w:sz="0" w:space="0" w:color="auto"/>
                            <w:left w:val="none" w:sz="0" w:space="0" w:color="auto"/>
                            <w:bottom w:val="none" w:sz="0" w:space="0" w:color="auto"/>
                            <w:right w:val="none" w:sz="0" w:space="0" w:color="auto"/>
                          </w:divBdr>
                          <w:divsChild>
                            <w:div w:id="15231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5278">
                  <w:marLeft w:val="0"/>
                  <w:marRight w:val="0"/>
                  <w:marTop w:val="0"/>
                  <w:marBottom w:val="0"/>
                  <w:divBdr>
                    <w:top w:val="none" w:sz="0" w:space="0" w:color="auto"/>
                    <w:left w:val="none" w:sz="0" w:space="0" w:color="auto"/>
                    <w:bottom w:val="none" w:sz="0" w:space="0" w:color="auto"/>
                    <w:right w:val="none" w:sz="0" w:space="0" w:color="auto"/>
                  </w:divBdr>
                  <w:divsChild>
                    <w:div w:id="1492871133">
                      <w:marLeft w:val="0"/>
                      <w:marRight w:val="0"/>
                      <w:marTop w:val="0"/>
                      <w:marBottom w:val="0"/>
                      <w:divBdr>
                        <w:top w:val="none" w:sz="0" w:space="0" w:color="auto"/>
                        <w:left w:val="none" w:sz="0" w:space="0" w:color="auto"/>
                        <w:bottom w:val="none" w:sz="0" w:space="0" w:color="auto"/>
                        <w:right w:val="none" w:sz="0" w:space="0" w:color="auto"/>
                      </w:divBdr>
                      <w:divsChild>
                        <w:div w:id="201826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91239">
                  <w:marLeft w:val="0"/>
                  <w:marRight w:val="0"/>
                  <w:marTop w:val="0"/>
                  <w:marBottom w:val="0"/>
                  <w:divBdr>
                    <w:top w:val="none" w:sz="0" w:space="0" w:color="auto"/>
                    <w:left w:val="none" w:sz="0" w:space="0" w:color="auto"/>
                    <w:bottom w:val="none" w:sz="0" w:space="0" w:color="auto"/>
                    <w:right w:val="none" w:sz="0" w:space="0" w:color="auto"/>
                  </w:divBdr>
                  <w:divsChild>
                    <w:div w:id="282229666">
                      <w:marLeft w:val="0"/>
                      <w:marRight w:val="0"/>
                      <w:marTop w:val="0"/>
                      <w:marBottom w:val="0"/>
                      <w:divBdr>
                        <w:top w:val="none" w:sz="0" w:space="0" w:color="auto"/>
                        <w:left w:val="none" w:sz="0" w:space="0" w:color="auto"/>
                        <w:bottom w:val="none" w:sz="0" w:space="0" w:color="auto"/>
                        <w:right w:val="none" w:sz="0" w:space="0" w:color="auto"/>
                      </w:divBdr>
                      <w:divsChild>
                        <w:div w:id="5028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somaliland.org" TargetMode="External"/><Relationship Id="rId13" Type="http://schemas.openxmlformats.org/officeDocument/2006/relationships/hyperlink" Target="https://www.google.com/search?q=https://doi.org/10.1177/0305829888017003080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1177/030582988101000205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pahmed-imojilic@somalilandparliament.ne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mpa-timo.com" TargetMode="External"/><Relationship Id="rId4" Type="http://schemas.openxmlformats.org/officeDocument/2006/relationships/webSettings" Target="webSettings.xml"/><Relationship Id="rId9" Type="http://schemas.openxmlformats.org/officeDocument/2006/relationships/hyperlink" Target="https://somalilandparliament.net" TargetMode="External"/><Relationship Id="rId14" Type="http://schemas.openxmlformats.org/officeDocument/2006/relationships/hyperlink" Target="https://hdr.undp.org/content/human-development-report-19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15</Pages>
  <Words>4476</Words>
  <Characters>25516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 Timo-Jilic</dc:creator>
  <cp:keywords/>
  <dc:description/>
  <cp:lastModifiedBy>MPA. Timo-Jilic</cp:lastModifiedBy>
  <cp:revision>9</cp:revision>
  <dcterms:created xsi:type="dcterms:W3CDTF">2026-08-21T16:37:00Z</dcterms:created>
  <dcterms:modified xsi:type="dcterms:W3CDTF">2026-08-21T19:16:00Z</dcterms:modified>
</cp:coreProperties>
</file>